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06" w:rsidRDefault="00EF2E06" w:rsidP="00EF2E06">
      <w:pPr>
        <w:jc w:val="center"/>
        <w:rPr>
          <w:rFonts w:ascii="Times New Roman" w:hAnsi="Times New Roman"/>
          <w:sz w:val="28"/>
          <w:szCs w:val="28"/>
        </w:rPr>
      </w:pPr>
      <w:r>
        <w:rPr>
          <w:rFonts w:ascii="Times New Roman" w:hAnsi="Times New Roman"/>
          <w:noProof/>
          <w:sz w:val="28"/>
          <w:szCs w:val="28"/>
          <w:lang w:eastAsia="lt-LT"/>
        </w:rPr>
        <w:drawing>
          <wp:anchor distT="0" distB="0" distL="114300" distR="114300" simplePos="0" relativeHeight="251659264" behindDoc="0" locked="0" layoutInCell="1" allowOverlap="0" wp14:anchorId="3FA0FB78" wp14:editId="1DDC0CD4">
            <wp:simplePos x="0" y="0"/>
            <wp:positionH relativeFrom="column">
              <wp:posOffset>2491740</wp:posOffset>
            </wp:positionH>
            <wp:positionV relativeFrom="paragraph">
              <wp:posOffset>-375285</wp:posOffset>
            </wp:positionV>
            <wp:extent cx="657225" cy="581025"/>
            <wp:effectExtent l="19050" t="0" r="9525" b="0"/>
            <wp:wrapNone/>
            <wp:docPr id="17" name="Paveikslėlis 2" descr="logo_kvs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_kvsb_color"/>
                    <pic:cNvPicPr>
                      <a:picLocks noChangeAspect="1" noChangeArrowheads="1"/>
                    </pic:cNvPicPr>
                  </pic:nvPicPr>
                  <pic:blipFill>
                    <a:blip r:embed="rId6" cstate="print"/>
                    <a:srcRect/>
                    <a:stretch>
                      <a:fillRect/>
                    </a:stretch>
                  </pic:blipFill>
                  <pic:spPr bwMode="auto">
                    <a:xfrm>
                      <a:off x="0" y="0"/>
                      <a:ext cx="657225" cy="581025"/>
                    </a:xfrm>
                    <a:prstGeom prst="rect">
                      <a:avLst/>
                    </a:prstGeom>
                    <a:noFill/>
                    <a:ln w="9525">
                      <a:noFill/>
                      <a:miter lim="800000"/>
                      <a:headEnd/>
                      <a:tailEnd/>
                    </a:ln>
                  </pic:spPr>
                </pic:pic>
              </a:graphicData>
            </a:graphic>
          </wp:anchor>
        </w:drawing>
      </w:r>
    </w:p>
    <w:p w:rsidR="00EF2E06" w:rsidRDefault="00781A73" w:rsidP="00EF2E06">
      <w:pPr>
        <w:jc w:val="center"/>
        <w:rPr>
          <w:rFonts w:ascii="Times New Roman" w:hAnsi="Times New Roman"/>
          <w:sz w:val="28"/>
          <w:szCs w:val="28"/>
        </w:rPr>
      </w:pPr>
      <w:r>
        <w:rPr>
          <w:rFonts w:ascii="Times New Roman" w:hAnsi="Times New Roman"/>
          <w:sz w:val="28"/>
          <w:szCs w:val="28"/>
        </w:rPr>
        <w:t>Kauno miesto savivaldybės v</w:t>
      </w:r>
      <w:r w:rsidR="00EF2E06" w:rsidRPr="00094747">
        <w:rPr>
          <w:rFonts w:ascii="Times New Roman" w:hAnsi="Times New Roman"/>
          <w:sz w:val="28"/>
          <w:szCs w:val="28"/>
        </w:rPr>
        <w:t xml:space="preserve">isuomenės sveikatos biuro </w:t>
      </w:r>
    </w:p>
    <w:p w:rsidR="00EF2E06" w:rsidRPr="00094747" w:rsidRDefault="00EF2E06" w:rsidP="00EF2E06">
      <w:pPr>
        <w:jc w:val="center"/>
        <w:rPr>
          <w:rFonts w:ascii="Times New Roman" w:hAnsi="Times New Roman"/>
          <w:sz w:val="28"/>
          <w:szCs w:val="28"/>
        </w:rPr>
      </w:pPr>
      <w:r>
        <w:rPr>
          <w:rFonts w:ascii="Times New Roman" w:hAnsi="Times New Roman"/>
          <w:sz w:val="28"/>
          <w:szCs w:val="28"/>
        </w:rPr>
        <w:t>V</w:t>
      </w:r>
      <w:r w:rsidRPr="00094747">
        <w:rPr>
          <w:rFonts w:ascii="Times New Roman" w:hAnsi="Times New Roman"/>
          <w:sz w:val="28"/>
          <w:szCs w:val="28"/>
        </w:rPr>
        <w:t>isuomenės sveikatos stebėsenos skyrius</w:t>
      </w:r>
    </w:p>
    <w:p w:rsidR="00EF2E06" w:rsidRDefault="00EF2E06" w:rsidP="00EF2E06">
      <w:pPr>
        <w:jc w:val="center"/>
      </w:pPr>
    </w:p>
    <w:p w:rsidR="00EF2E06" w:rsidRDefault="00EF2E06" w:rsidP="00EF2E06">
      <w:pPr>
        <w:jc w:val="center"/>
        <w:rPr>
          <w:rFonts w:ascii="Times New Roman" w:hAnsi="Times New Roman"/>
          <w:sz w:val="40"/>
          <w:szCs w:val="40"/>
        </w:rPr>
      </w:pPr>
    </w:p>
    <w:p w:rsidR="00EF2E06" w:rsidRDefault="00EF2E06" w:rsidP="00EF2E06">
      <w:pPr>
        <w:jc w:val="center"/>
        <w:rPr>
          <w:rFonts w:ascii="Times New Roman" w:hAnsi="Times New Roman"/>
          <w:sz w:val="40"/>
          <w:szCs w:val="40"/>
        </w:rPr>
      </w:pPr>
    </w:p>
    <w:p w:rsidR="00EF2E06" w:rsidRDefault="00EF2E06" w:rsidP="00EF2E06">
      <w:pPr>
        <w:jc w:val="center"/>
        <w:rPr>
          <w:rFonts w:ascii="Times New Roman" w:hAnsi="Times New Roman"/>
          <w:sz w:val="40"/>
          <w:szCs w:val="40"/>
        </w:rPr>
      </w:pPr>
    </w:p>
    <w:p w:rsidR="00EF2E06" w:rsidRDefault="00EF2E06" w:rsidP="00EF2E06">
      <w:pPr>
        <w:rPr>
          <w:rFonts w:ascii="Times New Roman" w:hAnsi="Times New Roman"/>
          <w:sz w:val="40"/>
          <w:szCs w:val="40"/>
        </w:rPr>
      </w:pPr>
      <w:bookmarkStart w:id="0" w:name="_GoBack"/>
      <w:bookmarkEnd w:id="0"/>
    </w:p>
    <w:p w:rsidR="00EF2E06" w:rsidRPr="00094747" w:rsidRDefault="00EF2E06" w:rsidP="00EF2E06">
      <w:pPr>
        <w:jc w:val="center"/>
        <w:rPr>
          <w:rFonts w:ascii="Times New Roman" w:hAnsi="Times New Roman"/>
          <w:sz w:val="40"/>
          <w:szCs w:val="40"/>
        </w:rPr>
      </w:pPr>
    </w:p>
    <w:p w:rsidR="00EF2E06" w:rsidRDefault="00EF2E06" w:rsidP="00EF2E06">
      <w:pPr>
        <w:jc w:val="center"/>
        <w:rPr>
          <w:rFonts w:ascii="Times New Roman" w:hAnsi="Times New Roman"/>
          <w:sz w:val="32"/>
          <w:szCs w:val="32"/>
        </w:rPr>
      </w:pPr>
      <w:r w:rsidRPr="00400A6F">
        <w:rPr>
          <w:rFonts w:ascii="Times New Roman" w:hAnsi="Times New Roman"/>
          <w:sz w:val="32"/>
          <w:szCs w:val="32"/>
        </w:rPr>
        <w:t xml:space="preserve">KAUNO MIESTO  BENDROJO LAVINIMO MOKYKLŲ MOKSLEIVIŲ </w:t>
      </w:r>
      <w:r w:rsidR="004D0B9A">
        <w:rPr>
          <w:rFonts w:ascii="Times New Roman" w:hAnsi="Times New Roman"/>
          <w:sz w:val="32"/>
          <w:szCs w:val="32"/>
        </w:rPr>
        <w:t>PROFILAKTINIŲ SVEIKATOS PATIKRINIMŲ DUOMENŲ ANALIZĖ</w:t>
      </w:r>
    </w:p>
    <w:p w:rsidR="00EF2E06" w:rsidRPr="00400A6F" w:rsidRDefault="00EF2E06" w:rsidP="00EF2E06">
      <w:pPr>
        <w:jc w:val="center"/>
        <w:rPr>
          <w:rFonts w:ascii="Times New Roman" w:hAnsi="Times New Roman"/>
          <w:sz w:val="32"/>
          <w:szCs w:val="32"/>
        </w:rPr>
      </w:pPr>
      <w:r>
        <w:rPr>
          <w:rFonts w:ascii="Times New Roman" w:hAnsi="Times New Roman"/>
          <w:sz w:val="32"/>
          <w:szCs w:val="32"/>
        </w:rPr>
        <w:t>2014</w:t>
      </w:r>
      <w:r w:rsidR="004D0B9A">
        <w:rPr>
          <w:rFonts w:ascii="Times New Roman" w:hAnsi="Times New Roman"/>
          <w:sz w:val="32"/>
          <w:szCs w:val="32"/>
        </w:rPr>
        <w:t>/2015</w:t>
      </w:r>
      <w:r w:rsidRPr="00400A6F">
        <w:rPr>
          <w:rFonts w:ascii="Times New Roman" w:hAnsi="Times New Roman"/>
          <w:sz w:val="32"/>
          <w:szCs w:val="32"/>
        </w:rPr>
        <w:t xml:space="preserve"> M.</w:t>
      </w:r>
    </w:p>
    <w:p w:rsidR="00EF2E06" w:rsidRDefault="00EF2E06" w:rsidP="00EF2E06"/>
    <w:p w:rsidR="00EF2E06" w:rsidRDefault="00EF2E06" w:rsidP="00EF2E06"/>
    <w:p w:rsidR="00EF2E06" w:rsidRPr="00094747" w:rsidRDefault="00EF2E06" w:rsidP="00EF2E06"/>
    <w:p w:rsidR="00EF2E06" w:rsidRDefault="00EF2E06" w:rsidP="00EF2E06">
      <w:pPr>
        <w:tabs>
          <w:tab w:val="left" w:pos="4110"/>
        </w:tabs>
      </w:pPr>
    </w:p>
    <w:p w:rsidR="00EF2E06" w:rsidRDefault="00EF2E06" w:rsidP="00EF2E06">
      <w:pPr>
        <w:tabs>
          <w:tab w:val="left" w:pos="4110"/>
        </w:tabs>
        <w:jc w:val="right"/>
      </w:pPr>
    </w:p>
    <w:p w:rsidR="00EF2E06" w:rsidRDefault="00EF2E06" w:rsidP="00EF2E06">
      <w:pPr>
        <w:tabs>
          <w:tab w:val="left" w:pos="4110"/>
        </w:tabs>
        <w:jc w:val="right"/>
      </w:pPr>
    </w:p>
    <w:p w:rsidR="00EF2E06" w:rsidRDefault="00EF2E06" w:rsidP="00EF2E06">
      <w:pPr>
        <w:tabs>
          <w:tab w:val="left" w:pos="4110"/>
        </w:tabs>
        <w:jc w:val="right"/>
      </w:pPr>
    </w:p>
    <w:p w:rsidR="00EF2E06" w:rsidRDefault="00EF2E06" w:rsidP="00EF2E06">
      <w:pPr>
        <w:tabs>
          <w:tab w:val="left" w:pos="4110"/>
        </w:tabs>
        <w:jc w:val="right"/>
      </w:pPr>
    </w:p>
    <w:p w:rsidR="00EF2E06" w:rsidRDefault="00EF2E06" w:rsidP="00EF2E06">
      <w:pPr>
        <w:tabs>
          <w:tab w:val="left" w:pos="4110"/>
        </w:tabs>
        <w:jc w:val="right"/>
      </w:pPr>
    </w:p>
    <w:p w:rsidR="00EF2E06" w:rsidRDefault="00EF2E06" w:rsidP="00EF2E06">
      <w:pPr>
        <w:tabs>
          <w:tab w:val="left" w:pos="4110"/>
        </w:tabs>
        <w:jc w:val="right"/>
      </w:pPr>
    </w:p>
    <w:p w:rsidR="00EF2E06" w:rsidRDefault="00EF2E06" w:rsidP="00EF2E06">
      <w:pPr>
        <w:tabs>
          <w:tab w:val="left" w:pos="4110"/>
        </w:tabs>
        <w:jc w:val="right"/>
      </w:pPr>
    </w:p>
    <w:p w:rsidR="00EF2E06" w:rsidRDefault="00EF2E06" w:rsidP="00EF2E06">
      <w:pPr>
        <w:tabs>
          <w:tab w:val="left" w:pos="4110"/>
        </w:tabs>
        <w:jc w:val="right"/>
      </w:pPr>
    </w:p>
    <w:p w:rsidR="00EF2E06" w:rsidRDefault="00EF2E06" w:rsidP="00EF2E06">
      <w:pPr>
        <w:jc w:val="center"/>
        <w:rPr>
          <w:rFonts w:ascii="Times New Roman" w:hAnsi="Times New Roman"/>
          <w:sz w:val="24"/>
          <w:szCs w:val="24"/>
        </w:rPr>
      </w:pPr>
    </w:p>
    <w:p w:rsidR="00EF2E06" w:rsidRDefault="00EF2E06" w:rsidP="00EF2E06">
      <w:pPr>
        <w:jc w:val="center"/>
        <w:rPr>
          <w:rFonts w:ascii="Times New Roman" w:hAnsi="Times New Roman"/>
          <w:sz w:val="24"/>
          <w:szCs w:val="24"/>
        </w:rPr>
      </w:pPr>
    </w:p>
    <w:p w:rsidR="00EF2E06" w:rsidRDefault="00EF2E06" w:rsidP="00EF2E06">
      <w:pPr>
        <w:jc w:val="center"/>
        <w:rPr>
          <w:rFonts w:ascii="Times New Roman" w:hAnsi="Times New Roman"/>
          <w:sz w:val="24"/>
          <w:szCs w:val="24"/>
        </w:rPr>
      </w:pPr>
    </w:p>
    <w:p w:rsidR="00EF2E06" w:rsidRDefault="00EF2E06" w:rsidP="00EF2E06">
      <w:pPr>
        <w:jc w:val="center"/>
        <w:rPr>
          <w:rFonts w:ascii="Times New Roman" w:hAnsi="Times New Roman"/>
          <w:sz w:val="24"/>
          <w:szCs w:val="24"/>
        </w:rPr>
      </w:pPr>
      <w:r w:rsidRPr="00CE6CCD">
        <w:rPr>
          <w:rFonts w:ascii="Times New Roman" w:hAnsi="Times New Roman"/>
          <w:sz w:val="24"/>
          <w:szCs w:val="24"/>
        </w:rPr>
        <w:t xml:space="preserve">Kaunas, </w:t>
      </w:r>
      <w:r>
        <w:rPr>
          <w:rFonts w:ascii="Times New Roman" w:hAnsi="Times New Roman"/>
          <w:sz w:val="24"/>
          <w:szCs w:val="24"/>
        </w:rPr>
        <w:t>2015</w:t>
      </w:r>
      <w:r w:rsidRPr="00CE6CCD">
        <w:rPr>
          <w:rFonts w:ascii="Times New Roman" w:hAnsi="Times New Roman"/>
          <w:sz w:val="24"/>
          <w:szCs w:val="24"/>
        </w:rPr>
        <w:t xml:space="preserve"> m.</w:t>
      </w:r>
    </w:p>
    <w:p w:rsidR="00EF2E06" w:rsidRDefault="00EF2E06" w:rsidP="00EF2E06">
      <w:pPr>
        <w:jc w:val="center"/>
        <w:rPr>
          <w:rFonts w:ascii="Times New Roman" w:hAnsi="Times New Roman"/>
          <w:sz w:val="24"/>
          <w:szCs w:val="24"/>
        </w:rPr>
      </w:pPr>
    </w:p>
    <w:p w:rsidR="00EF2E06" w:rsidRDefault="00EF2E06" w:rsidP="00EF2E06">
      <w:pPr>
        <w:ind w:firstLine="1134"/>
        <w:rPr>
          <w:rFonts w:ascii="Times New Roman" w:hAnsi="Times New Roman"/>
          <w:sz w:val="24"/>
          <w:szCs w:val="24"/>
        </w:rPr>
      </w:pPr>
      <w:r w:rsidRPr="008736B8">
        <w:rPr>
          <w:rFonts w:ascii="Times New Roman" w:hAnsi="Times New Roman"/>
          <w:sz w:val="24"/>
          <w:szCs w:val="24"/>
        </w:rPr>
        <w:t>Kasmetiniai</w:t>
      </w:r>
      <w:r>
        <w:rPr>
          <w:rFonts w:ascii="Times New Roman" w:hAnsi="Times New Roman"/>
          <w:sz w:val="24"/>
          <w:szCs w:val="24"/>
        </w:rPr>
        <w:t xml:space="preserve"> profilaktiniai</w:t>
      </w:r>
      <w:r w:rsidRPr="008736B8">
        <w:rPr>
          <w:rFonts w:ascii="Times New Roman" w:hAnsi="Times New Roman"/>
          <w:sz w:val="24"/>
          <w:szCs w:val="24"/>
        </w:rPr>
        <w:t xml:space="preserve"> mokinių sveikatos patikrinimai atliekami vado</w:t>
      </w:r>
      <w:r>
        <w:rPr>
          <w:rFonts w:ascii="Times New Roman" w:hAnsi="Times New Roman"/>
          <w:sz w:val="24"/>
          <w:szCs w:val="24"/>
        </w:rPr>
        <w:t xml:space="preserve">vaujantis Lietuvos Respublikos </w:t>
      </w:r>
      <w:r w:rsidRPr="008736B8">
        <w:rPr>
          <w:rFonts w:ascii="Times New Roman" w:hAnsi="Times New Roman"/>
          <w:sz w:val="24"/>
          <w:szCs w:val="24"/>
        </w:rPr>
        <w:t>sveikatos apsaugos ministro 2000 m. gegužės 31 d. įsakymu Nr. 30</w:t>
      </w:r>
      <w:r>
        <w:rPr>
          <w:rFonts w:ascii="Times New Roman" w:hAnsi="Times New Roman"/>
          <w:sz w:val="24"/>
          <w:szCs w:val="24"/>
        </w:rPr>
        <w:t xml:space="preserve">1 „Dėl profilaktinių sveikatos </w:t>
      </w:r>
      <w:r w:rsidRPr="008736B8">
        <w:rPr>
          <w:rFonts w:ascii="Times New Roman" w:hAnsi="Times New Roman"/>
          <w:sz w:val="24"/>
          <w:szCs w:val="24"/>
        </w:rPr>
        <w:t>patikrinimų sveikatos priežiūros įstaigose“ (</w:t>
      </w:r>
      <w:proofErr w:type="spellStart"/>
      <w:r w:rsidRPr="008736B8">
        <w:rPr>
          <w:rFonts w:ascii="Times New Roman" w:hAnsi="Times New Roman"/>
          <w:sz w:val="24"/>
          <w:szCs w:val="24"/>
        </w:rPr>
        <w:t>Žin</w:t>
      </w:r>
      <w:proofErr w:type="spellEnd"/>
      <w:r w:rsidRPr="008736B8">
        <w:rPr>
          <w:rFonts w:ascii="Times New Roman" w:hAnsi="Times New Roman"/>
          <w:sz w:val="24"/>
          <w:szCs w:val="24"/>
        </w:rPr>
        <w:t>., 47-1365).</w:t>
      </w:r>
      <w:r>
        <w:rPr>
          <w:rFonts w:ascii="Times New Roman" w:hAnsi="Times New Roman"/>
          <w:sz w:val="24"/>
          <w:szCs w:val="24"/>
        </w:rPr>
        <w:t xml:space="preserve"> </w:t>
      </w:r>
      <w:r w:rsidRPr="008736B8">
        <w:rPr>
          <w:rFonts w:ascii="Times New Roman" w:hAnsi="Times New Roman"/>
          <w:sz w:val="24"/>
          <w:szCs w:val="24"/>
        </w:rPr>
        <w:t>D</w:t>
      </w:r>
      <w:r>
        <w:rPr>
          <w:rFonts w:ascii="Times New Roman" w:hAnsi="Times New Roman"/>
          <w:sz w:val="24"/>
          <w:szCs w:val="24"/>
        </w:rPr>
        <w:t xml:space="preserve">uomenys apie mokinių sveikatos </w:t>
      </w:r>
      <w:r w:rsidRPr="008736B8">
        <w:rPr>
          <w:rFonts w:ascii="Times New Roman" w:hAnsi="Times New Roman"/>
          <w:sz w:val="24"/>
          <w:szCs w:val="24"/>
        </w:rPr>
        <w:t xml:space="preserve">būklę gaunami iš statistinės apskaitos formos Nr. 0.27-1/a. </w:t>
      </w:r>
      <w:r>
        <w:rPr>
          <w:rFonts w:ascii="Times New Roman" w:hAnsi="Times New Roman"/>
          <w:sz w:val="24"/>
          <w:szCs w:val="24"/>
        </w:rPr>
        <w:t xml:space="preserve">„Vaiko sveikatos pažymėjimas“, </w:t>
      </w:r>
      <w:r w:rsidRPr="008736B8">
        <w:rPr>
          <w:rFonts w:ascii="Times New Roman" w:hAnsi="Times New Roman"/>
          <w:sz w:val="24"/>
          <w:szCs w:val="24"/>
        </w:rPr>
        <w:t>patvirtintos Lietuvos Respublikos sveikatos apsaugos ministro 2004</w:t>
      </w:r>
      <w:r>
        <w:rPr>
          <w:rFonts w:ascii="Times New Roman" w:hAnsi="Times New Roman"/>
          <w:sz w:val="24"/>
          <w:szCs w:val="24"/>
        </w:rPr>
        <w:t xml:space="preserve"> m. gruodžio 24 d. įsakymu Nr. </w:t>
      </w:r>
      <w:r w:rsidRPr="008736B8">
        <w:rPr>
          <w:rFonts w:ascii="Times New Roman" w:hAnsi="Times New Roman"/>
          <w:sz w:val="24"/>
          <w:szCs w:val="24"/>
        </w:rPr>
        <w:t>V-951 (</w:t>
      </w:r>
      <w:proofErr w:type="spellStart"/>
      <w:r w:rsidRPr="008736B8">
        <w:rPr>
          <w:rFonts w:ascii="Times New Roman" w:hAnsi="Times New Roman"/>
          <w:sz w:val="24"/>
          <w:szCs w:val="24"/>
        </w:rPr>
        <w:t>Žin</w:t>
      </w:r>
      <w:proofErr w:type="spellEnd"/>
      <w:r w:rsidRPr="008736B8">
        <w:rPr>
          <w:rFonts w:ascii="Times New Roman" w:hAnsi="Times New Roman"/>
          <w:sz w:val="24"/>
          <w:szCs w:val="24"/>
        </w:rPr>
        <w:t>., 2005, Nr. 3-38).</w:t>
      </w:r>
      <w:r>
        <w:rPr>
          <w:rFonts w:ascii="Times New Roman" w:hAnsi="Times New Roman"/>
          <w:sz w:val="24"/>
          <w:szCs w:val="24"/>
        </w:rPr>
        <w:t xml:space="preserve"> Šioje apskaitos formoje privalo būti nurodyta vaiko sveikatos būklė: kraujospūdis, klausos, regos, kaulų ir raumenų, kvėpavimo ir nervų sistemų sutrikimus. Taip pat pateikiama išvada apie moksleivio fizinį pasirengimą – jis priskiriamas vienai iš trijų fizinio ugdymo grupių. </w:t>
      </w:r>
      <w:r w:rsidRPr="000C62D4">
        <w:rPr>
          <w:rFonts w:ascii="Times New Roman" w:hAnsi="Times New Roman"/>
          <w:sz w:val="24"/>
          <w:szCs w:val="24"/>
        </w:rPr>
        <w:t>Vykd</w:t>
      </w:r>
      <w:r>
        <w:rPr>
          <w:rFonts w:ascii="Times New Roman" w:hAnsi="Times New Roman"/>
          <w:sz w:val="24"/>
          <w:szCs w:val="24"/>
        </w:rPr>
        <w:t xml:space="preserve">ant naują Lietuvos Respublikos </w:t>
      </w:r>
      <w:r w:rsidRPr="000C62D4">
        <w:rPr>
          <w:rFonts w:ascii="Times New Roman" w:hAnsi="Times New Roman"/>
          <w:sz w:val="24"/>
          <w:szCs w:val="24"/>
        </w:rPr>
        <w:t>sveikatos apsaugos ministro 2013 m. gegužės 16 d. įsakymą Nr. V</w:t>
      </w:r>
      <w:r>
        <w:rPr>
          <w:rFonts w:ascii="Times New Roman" w:hAnsi="Times New Roman"/>
          <w:sz w:val="24"/>
          <w:szCs w:val="24"/>
        </w:rPr>
        <w:t xml:space="preserve">-507 „Dėl Lietuvos Respublikos </w:t>
      </w:r>
      <w:r w:rsidRPr="000C62D4">
        <w:rPr>
          <w:rFonts w:ascii="Times New Roman" w:hAnsi="Times New Roman"/>
          <w:sz w:val="24"/>
          <w:szCs w:val="24"/>
        </w:rPr>
        <w:t>sveikatos apsaugos ministro 2004 m. gruodžio 24 d. įsakymo Nr. V-</w:t>
      </w:r>
      <w:r>
        <w:rPr>
          <w:rFonts w:ascii="Times New Roman" w:hAnsi="Times New Roman"/>
          <w:sz w:val="24"/>
          <w:szCs w:val="24"/>
        </w:rPr>
        <w:t xml:space="preserve">951 "Dėl statistinės apskaitos </w:t>
      </w:r>
      <w:r w:rsidRPr="000C62D4">
        <w:rPr>
          <w:rFonts w:ascii="Times New Roman" w:hAnsi="Times New Roman"/>
          <w:sz w:val="24"/>
          <w:szCs w:val="24"/>
        </w:rPr>
        <w:t>formos Nr. 027-1/a "Vaiko sveikatos pažymėjimas" patvirtinim</w:t>
      </w:r>
      <w:r>
        <w:rPr>
          <w:rFonts w:ascii="Times New Roman" w:hAnsi="Times New Roman"/>
          <w:sz w:val="24"/>
          <w:szCs w:val="24"/>
        </w:rPr>
        <w:t xml:space="preserve">o" pakeitimo“, vaiko sveikatos </w:t>
      </w:r>
      <w:r w:rsidRPr="000C62D4">
        <w:rPr>
          <w:rFonts w:ascii="Times New Roman" w:hAnsi="Times New Roman"/>
          <w:sz w:val="24"/>
          <w:szCs w:val="24"/>
        </w:rPr>
        <w:t xml:space="preserve">pažymėjimą, taip pat turi užpildyti bei pasirašyti </w:t>
      </w:r>
      <w:proofErr w:type="spellStart"/>
      <w:r w:rsidRPr="000C62D4">
        <w:rPr>
          <w:rFonts w:ascii="Times New Roman" w:hAnsi="Times New Roman"/>
          <w:sz w:val="24"/>
          <w:szCs w:val="24"/>
        </w:rPr>
        <w:t>odontologas</w:t>
      </w:r>
      <w:proofErr w:type="spellEnd"/>
      <w:r w:rsidRPr="000C62D4">
        <w:rPr>
          <w:rFonts w:ascii="Times New Roman" w:hAnsi="Times New Roman"/>
          <w:sz w:val="24"/>
          <w:szCs w:val="24"/>
        </w:rPr>
        <w:t>.</w:t>
      </w:r>
      <w:r>
        <w:rPr>
          <w:rFonts w:ascii="Times New Roman" w:hAnsi="Times New Roman"/>
          <w:sz w:val="24"/>
          <w:szCs w:val="24"/>
        </w:rPr>
        <w:t xml:space="preserve"> </w:t>
      </w:r>
      <w:r w:rsidRPr="000C62D4">
        <w:rPr>
          <w:rFonts w:ascii="Times New Roman" w:hAnsi="Times New Roman"/>
          <w:sz w:val="24"/>
          <w:szCs w:val="24"/>
        </w:rPr>
        <w:t>Gyd</w:t>
      </w:r>
      <w:r>
        <w:rPr>
          <w:rFonts w:ascii="Times New Roman" w:hAnsi="Times New Roman"/>
          <w:sz w:val="24"/>
          <w:szCs w:val="24"/>
        </w:rPr>
        <w:t xml:space="preserve">ytojas į formą privalo įrašyti </w:t>
      </w:r>
      <w:r w:rsidRPr="000C62D4">
        <w:rPr>
          <w:rFonts w:ascii="Times New Roman" w:hAnsi="Times New Roman"/>
          <w:sz w:val="24"/>
          <w:szCs w:val="24"/>
        </w:rPr>
        <w:t>pieninių arba nuolatinių dantų būklę</w:t>
      </w:r>
      <w:r>
        <w:rPr>
          <w:rFonts w:ascii="Times New Roman" w:hAnsi="Times New Roman"/>
          <w:sz w:val="24"/>
          <w:szCs w:val="24"/>
        </w:rPr>
        <w:t xml:space="preserve"> ir pateikti informaciją apie </w:t>
      </w:r>
      <w:proofErr w:type="spellStart"/>
      <w:r w:rsidRPr="000C62D4">
        <w:rPr>
          <w:rFonts w:ascii="Times New Roman" w:hAnsi="Times New Roman"/>
          <w:sz w:val="24"/>
          <w:szCs w:val="24"/>
        </w:rPr>
        <w:t>sąkand</w:t>
      </w:r>
      <w:r>
        <w:rPr>
          <w:rFonts w:ascii="Times New Roman" w:hAnsi="Times New Roman"/>
          <w:sz w:val="24"/>
          <w:szCs w:val="24"/>
        </w:rPr>
        <w:t>žio</w:t>
      </w:r>
      <w:proofErr w:type="spellEnd"/>
      <w:r>
        <w:rPr>
          <w:rFonts w:ascii="Times New Roman" w:hAnsi="Times New Roman"/>
          <w:sz w:val="24"/>
          <w:szCs w:val="24"/>
        </w:rPr>
        <w:t xml:space="preserve"> patologiją, jei tokia yra. </w:t>
      </w:r>
    </w:p>
    <w:p w:rsidR="00EF2E06" w:rsidRDefault="00EF2E06" w:rsidP="00EF2E06">
      <w:pPr>
        <w:rPr>
          <w:rFonts w:ascii="Times New Roman" w:hAnsi="Times New Roman"/>
          <w:sz w:val="24"/>
          <w:szCs w:val="24"/>
        </w:rPr>
      </w:pPr>
      <w:r>
        <w:rPr>
          <w:rFonts w:ascii="Times New Roman" w:hAnsi="Times New Roman"/>
          <w:sz w:val="24"/>
          <w:szCs w:val="24"/>
        </w:rPr>
        <w:t xml:space="preserve">                  </w:t>
      </w:r>
      <w:r w:rsidRPr="00DF15AC">
        <w:rPr>
          <w:rFonts w:ascii="Times New Roman" w:hAnsi="Times New Roman"/>
          <w:sz w:val="24"/>
          <w:szCs w:val="24"/>
        </w:rPr>
        <w:t>Remiantis Lietuvos higienos norma HN 21:2011 „Mok</w:t>
      </w:r>
      <w:r>
        <w:rPr>
          <w:rFonts w:ascii="Times New Roman" w:hAnsi="Times New Roman"/>
          <w:sz w:val="24"/>
          <w:szCs w:val="24"/>
        </w:rPr>
        <w:t xml:space="preserve">ykla, vykdanti bendrojo ugdymo </w:t>
      </w:r>
      <w:r w:rsidRPr="00DF15AC">
        <w:rPr>
          <w:rFonts w:ascii="Times New Roman" w:hAnsi="Times New Roman"/>
          <w:sz w:val="24"/>
          <w:szCs w:val="24"/>
        </w:rPr>
        <w:t xml:space="preserve">programas. Bendrieji sveikatos saugos reikalavimai“, </w:t>
      </w:r>
      <w:r>
        <w:rPr>
          <w:rFonts w:ascii="Times New Roman" w:hAnsi="Times New Roman"/>
          <w:sz w:val="24"/>
          <w:szCs w:val="24"/>
        </w:rPr>
        <w:t xml:space="preserve">kiekvienais metais </w:t>
      </w:r>
      <w:r w:rsidRPr="00DF15AC">
        <w:rPr>
          <w:rFonts w:ascii="Times New Roman" w:hAnsi="Times New Roman"/>
          <w:sz w:val="24"/>
          <w:szCs w:val="24"/>
        </w:rPr>
        <w:t>mokiniai iki 18 metų t</w:t>
      </w:r>
      <w:r>
        <w:rPr>
          <w:rFonts w:ascii="Times New Roman" w:hAnsi="Times New Roman"/>
          <w:sz w:val="24"/>
          <w:szCs w:val="24"/>
        </w:rPr>
        <w:t xml:space="preserve">uri pateikti vaiko </w:t>
      </w:r>
      <w:r w:rsidRPr="00DF15AC">
        <w:rPr>
          <w:rFonts w:ascii="Times New Roman" w:hAnsi="Times New Roman"/>
          <w:sz w:val="24"/>
          <w:szCs w:val="24"/>
        </w:rPr>
        <w:t>sveikatos pažymėjimą (formą Nr. 027-1/a) išduotą ne anksči</w:t>
      </w:r>
      <w:r>
        <w:rPr>
          <w:rFonts w:ascii="Times New Roman" w:hAnsi="Times New Roman"/>
          <w:sz w:val="24"/>
          <w:szCs w:val="24"/>
        </w:rPr>
        <w:t xml:space="preserve">au kaip prieš metus, o naujoje </w:t>
      </w:r>
      <w:r w:rsidRPr="00DF15AC">
        <w:rPr>
          <w:rFonts w:ascii="Times New Roman" w:hAnsi="Times New Roman"/>
          <w:sz w:val="24"/>
          <w:szCs w:val="24"/>
        </w:rPr>
        <w:t xml:space="preserve">mokykloje pradėję mokytis mokiniai, turi pateikti iki einamųjų metų rugsėjo 15d. </w:t>
      </w:r>
      <w:r w:rsidRPr="00DF15AC">
        <w:rPr>
          <w:rFonts w:ascii="Times New Roman" w:hAnsi="Times New Roman"/>
          <w:sz w:val="24"/>
          <w:szCs w:val="24"/>
        </w:rPr>
        <w:cr/>
      </w:r>
      <w:r>
        <w:rPr>
          <w:rFonts w:ascii="Times New Roman" w:hAnsi="Times New Roman"/>
          <w:sz w:val="24"/>
          <w:szCs w:val="24"/>
        </w:rPr>
        <w:t xml:space="preserve">Privalomas mokinių sveikatos patikrinimas yra labai svarbus, nes padeda laiku nustatyti sveikatos sutrikimus ir ligas, taip pat padeda išvengti didesnių mokinių </w:t>
      </w:r>
      <w:r w:rsidRPr="00D451FD">
        <w:rPr>
          <w:rFonts w:ascii="Times New Roman" w:hAnsi="Times New Roman"/>
          <w:sz w:val="24"/>
          <w:szCs w:val="24"/>
        </w:rPr>
        <w:t xml:space="preserve">sveikatos sutrikimų ugdymo proceso metu. </w:t>
      </w:r>
    </w:p>
    <w:p w:rsidR="00EF2E06" w:rsidRDefault="00EF2E06" w:rsidP="00EF2E06">
      <w:pPr>
        <w:rPr>
          <w:rFonts w:ascii="Times New Roman" w:hAnsi="Times New Roman"/>
          <w:sz w:val="24"/>
          <w:szCs w:val="24"/>
        </w:rPr>
      </w:pPr>
      <w:r>
        <w:rPr>
          <w:rFonts w:ascii="Times New Roman" w:hAnsi="Times New Roman"/>
          <w:sz w:val="24"/>
          <w:szCs w:val="24"/>
        </w:rPr>
        <w:t xml:space="preserve">                  </w:t>
      </w:r>
      <w:r w:rsidRPr="001D2E7D">
        <w:rPr>
          <w:rFonts w:ascii="Times New Roman" w:hAnsi="Times New Roman"/>
          <w:sz w:val="24"/>
          <w:szCs w:val="24"/>
        </w:rPr>
        <w:t>Duomenys apie vaikų vystymosi sutrikimus ir sergamumą yra teikiami Kauno miesto savivaldybės Visuomenės sveikatos biurui, kuris vykdo vien</w:t>
      </w:r>
      <w:r>
        <w:rPr>
          <w:rFonts w:ascii="Times New Roman" w:hAnsi="Times New Roman"/>
          <w:sz w:val="24"/>
          <w:szCs w:val="24"/>
        </w:rPr>
        <w:t xml:space="preserve">ą iš savo funkcijų – visuomenės </w:t>
      </w:r>
      <w:r w:rsidRPr="001D2E7D">
        <w:rPr>
          <w:rFonts w:ascii="Times New Roman" w:hAnsi="Times New Roman"/>
          <w:sz w:val="24"/>
          <w:szCs w:val="24"/>
        </w:rPr>
        <w:t xml:space="preserve">sveikatos </w:t>
      </w:r>
      <w:proofErr w:type="spellStart"/>
      <w:r w:rsidRPr="001D2E7D">
        <w:rPr>
          <w:rFonts w:ascii="Times New Roman" w:hAnsi="Times New Roman"/>
          <w:sz w:val="24"/>
          <w:szCs w:val="24"/>
        </w:rPr>
        <w:t>stebėseną</w:t>
      </w:r>
      <w:proofErr w:type="spellEnd"/>
      <w:r w:rsidRPr="001D2E7D">
        <w:rPr>
          <w:rFonts w:ascii="Times New Roman" w:hAnsi="Times New Roman"/>
          <w:sz w:val="24"/>
          <w:szCs w:val="24"/>
        </w:rPr>
        <w:t xml:space="preserve">. Pagal </w:t>
      </w:r>
      <w:r w:rsidRPr="00920B5F">
        <w:rPr>
          <w:rFonts w:ascii="Times New Roman" w:hAnsi="Times New Roman"/>
          <w:sz w:val="24"/>
          <w:szCs w:val="24"/>
        </w:rPr>
        <w:t>visuomenės sveikatos priežiūros specialisčių pateiktus duomenis yra at</w:t>
      </w:r>
      <w:r>
        <w:rPr>
          <w:rFonts w:ascii="Times New Roman" w:hAnsi="Times New Roman"/>
          <w:sz w:val="24"/>
          <w:szCs w:val="24"/>
        </w:rPr>
        <w:t xml:space="preserve">liekama vaikų sergamumo analizė, kuri padeda kryptingai planuoti ir </w:t>
      </w:r>
      <w:r w:rsidRPr="00D451FD">
        <w:rPr>
          <w:rFonts w:ascii="Times New Roman" w:hAnsi="Times New Roman"/>
          <w:sz w:val="24"/>
          <w:szCs w:val="24"/>
        </w:rPr>
        <w:t>įgyvendinti sveikatos priežiūrą mokykloje, organizuoti ir įgyvendinti pr</w:t>
      </w:r>
      <w:r>
        <w:rPr>
          <w:rFonts w:ascii="Times New Roman" w:hAnsi="Times New Roman"/>
          <w:sz w:val="24"/>
          <w:szCs w:val="24"/>
        </w:rPr>
        <w:t xml:space="preserve">iemones, susijusias su ligų ir </w:t>
      </w:r>
      <w:r w:rsidRPr="00D451FD">
        <w:rPr>
          <w:rFonts w:ascii="Times New Roman" w:hAnsi="Times New Roman"/>
          <w:sz w:val="24"/>
          <w:szCs w:val="24"/>
        </w:rPr>
        <w:t>traumų profilaktika</w:t>
      </w:r>
      <w:r>
        <w:rPr>
          <w:rFonts w:ascii="Times New Roman" w:hAnsi="Times New Roman"/>
          <w:sz w:val="24"/>
          <w:szCs w:val="24"/>
        </w:rPr>
        <w:t xml:space="preserve">. Mokyklų visuomenės sveikatos specialistams ir administracijos </w:t>
      </w:r>
      <w:r w:rsidRPr="00940827">
        <w:rPr>
          <w:rFonts w:ascii="Times New Roman" w:hAnsi="Times New Roman"/>
          <w:sz w:val="24"/>
          <w:szCs w:val="24"/>
        </w:rPr>
        <w:t>darbuotojams informacija apie moksleivių sveikatą parodo, koki</w:t>
      </w:r>
      <w:r>
        <w:rPr>
          <w:rFonts w:ascii="Times New Roman" w:hAnsi="Times New Roman"/>
          <w:sz w:val="24"/>
          <w:szCs w:val="24"/>
        </w:rPr>
        <w:t>os mokinių sveikatos problemos vyrauja jų ugdymo įstaigoje</w:t>
      </w:r>
      <w:r w:rsidRPr="00940827">
        <w:rPr>
          <w:rFonts w:ascii="Times New Roman" w:hAnsi="Times New Roman"/>
          <w:sz w:val="24"/>
          <w:szCs w:val="24"/>
        </w:rPr>
        <w:t>, o tai gali tapti svariu motyvu inicijuoti sve</w:t>
      </w:r>
      <w:r>
        <w:rPr>
          <w:rFonts w:ascii="Times New Roman" w:hAnsi="Times New Roman"/>
          <w:sz w:val="24"/>
          <w:szCs w:val="24"/>
        </w:rPr>
        <w:t xml:space="preserve">ikatos stiprinimo priemonių jų </w:t>
      </w:r>
      <w:r w:rsidRPr="00940827">
        <w:rPr>
          <w:rFonts w:ascii="Times New Roman" w:hAnsi="Times New Roman"/>
          <w:sz w:val="24"/>
          <w:szCs w:val="24"/>
        </w:rPr>
        <w:t>ugdymo įstaigoje įgyvendinimą.</w:t>
      </w:r>
      <w:r>
        <w:rPr>
          <w:rFonts w:ascii="Times New Roman" w:hAnsi="Times New Roman"/>
          <w:sz w:val="24"/>
          <w:szCs w:val="24"/>
        </w:rPr>
        <w:t xml:space="preserve"> </w:t>
      </w:r>
      <w:r w:rsidRPr="00940827">
        <w:rPr>
          <w:rFonts w:ascii="Times New Roman" w:hAnsi="Times New Roman"/>
          <w:sz w:val="24"/>
          <w:szCs w:val="24"/>
        </w:rPr>
        <w:t xml:space="preserve">Kūno kultūros mokytojai, </w:t>
      </w:r>
      <w:r>
        <w:rPr>
          <w:rFonts w:ascii="Times New Roman" w:hAnsi="Times New Roman"/>
          <w:sz w:val="24"/>
          <w:szCs w:val="24"/>
        </w:rPr>
        <w:t>atsižvelgę į kiekvienam mokiniui gydytojų nustatytą fizinio ugdymo grupę</w:t>
      </w:r>
      <w:r w:rsidRPr="00940827">
        <w:rPr>
          <w:rFonts w:ascii="Times New Roman" w:hAnsi="Times New Roman"/>
          <w:sz w:val="24"/>
          <w:szCs w:val="24"/>
        </w:rPr>
        <w:t>, gali tikslingai planuoti fizinio la</w:t>
      </w:r>
      <w:r>
        <w:rPr>
          <w:rFonts w:ascii="Times New Roman" w:hAnsi="Times New Roman"/>
          <w:sz w:val="24"/>
          <w:szCs w:val="24"/>
        </w:rPr>
        <w:t xml:space="preserve">vinimo pamokas ir moksleiviams </w:t>
      </w:r>
      <w:r w:rsidRPr="00940827">
        <w:rPr>
          <w:rFonts w:ascii="Times New Roman" w:hAnsi="Times New Roman"/>
          <w:sz w:val="24"/>
          <w:szCs w:val="24"/>
        </w:rPr>
        <w:t>nustatyti tinkamus ir jų sveikatą stiprinančius</w:t>
      </w:r>
      <w:r>
        <w:rPr>
          <w:rFonts w:ascii="Times New Roman" w:hAnsi="Times New Roman"/>
          <w:sz w:val="24"/>
          <w:szCs w:val="24"/>
        </w:rPr>
        <w:t xml:space="preserve"> </w:t>
      </w:r>
      <w:r w:rsidRPr="00940827">
        <w:rPr>
          <w:rFonts w:ascii="Times New Roman" w:hAnsi="Times New Roman"/>
          <w:sz w:val="24"/>
          <w:szCs w:val="24"/>
        </w:rPr>
        <w:t>fizinius krūvius.</w:t>
      </w:r>
    </w:p>
    <w:p w:rsidR="00EF2E06" w:rsidRDefault="00EF2E06" w:rsidP="00EF2E06">
      <w:pPr>
        <w:jc w:val="center"/>
        <w:rPr>
          <w:rFonts w:ascii="Times New Roman" w:hAnsi="Times New Roman"/>
          <w:sz w:val="24"/>
          <w:szCs w:val="24"/>
        </w:rPr>
      </w:pPr>
    </w:p>
    <w:p w:rsidR="00EF2E06" w:rsidRDefault="00EF2E06" w:rsidP="00EF2E06">
      <w:pPr>
        <w:jc w:val="center"/>
        <w:rPr>
          <w:rFonts w:ascii="Times New Roman" w:hAnsi="Times New Roman"/>
          <w:sz w:val="24"/>
          <w:szCs w:val="24"/>
        </w:rPr>
      </w:pPr>
    </w:p>
    <w:p w:rsidR="00EF2E06" w:rsidRPr="00765478" w:rsidRDefault="00EF2E06" w:rsidP="00EF2E06">
      <w:pPr>
        <w:pStyle w:val="Sraopastraipa"/>
        <w:numPr>
          <w:ilvl w:val="0"/>
          <w:numId w:val="1"/>
        </w:numPr>
        <w:rPr>
          <w:rFonts w:ascii="Times New Roman" w:hAnsi="Times New Roman"/>
          <w:b/>
          <w:sz w:val="24"/>
          <w:szCs w:val="24"/>
        </w:rPr>
      </w:pPr>
      <w:r w:rsidRPr="00765478">
        <w:rPr>
          <w:rFonts w:ascii="Times New Roman" w:hAnsi="Times New Roman"/>
          <w:b/>
          <w:sz w:val="24"/>
          <w:szCs w:val="24"/>
        </w:rPr>
        <w:t>PROFILAKTINIŲ MOKINIŲ SVEIKATOS PATIKRINIMŲ REZULTATAI</w:t>
      </w:r>
    </w:p>
    <w:p w:rsidR="00EF2E06" w:rsidRDefault="00EF2E06" w:rsidP="00EF2E06">
      <w:pPr>
        <w:jc w:val="center"/>
        <w:rPr>
          <w:rFonts w:ascii="Times New Roman" w:hAnsi="Times New Roman"/>
          <w:sz w:val="24"/>
          <w:szCs w:val="24"/>
        </w:rPr>
      </w:pPr>
    </w:p>
    <w:p w:rsidR="00EF2E06" w:rsidRDefault="00EF2E06" w:rsidP="00EF2E06">
      <w:pPr>
        <w:ind w:firstLine="1134"/>
        <w:rPr>
          <w:rFonts w:ascii="Times New Roman" w:hAnsi="Times New Roman" w:cs="Times New Roman"/>
          <w:sz w:val="24"/>
          <w:szCs w:val="24"/>
        </w:rPr>
      </w:pPr>
      <w:r w:rsidRPr="00EF2E06">
        <w:rPr>
          <w:rFonts w:ascii="Times New Roman" w:hAnsi="Times New Roman" w:cs="Times New Roman"/>
          <w:sz w:val="24"/>
          <w:szCs w:val="24"/>
        </w:rPr>
        <w:t>Pagal mokyklų visuomenės sveikatos priežiūros specialistų pateiktus duomenis, 2014/2015 mokslo metus Kauno miesto bendrojo lavinimo mokyklose pradėjo 35 363 mokiniai</w:t>
      </w:r>
      <w:r w:rsidR="00981FC0">
        <w:rPr>
          <w:rFonts w:ascii="Times New Roman" w:hAnsi="Times New Roman" w:cs="Times New Roman"/>
          <w:sz w:val="24"/>
          <w:szCs w:val="24"/>
        </w:rPr>
        <w:t xml:space="preserve">. Profilaktinio </w:t>
      </w:r>
      <w:r>
        <w:rPr>
          <w:rFonts w:ascii="Times New Roman" w:hAnsi="Times New Roman" w:cs="Times New Roman"/>
          <w:sz w:val="24"/>
          <w:szCs w:val="24"/>
        </w:rPr>
        <w:t xml:space="preserve">sveikatos patikrinimo </w:t>
      </w:r>
      <w:r w:rsidRPr="00981FC0">
        <w:rPr>
          <w:rFonts w:ascii="Times New Roman" w:hAnsi="Times New Roman" w:cs="Times New Roman"/>
          <w:sz w:val="24"/>
          <w:szCs w:val="24"/>
        </w:rPr>
        <w:t>formą (Nr. 027-1/a. „Vaiko sveikatos pažymėjimas“)</w:t>
      </w:r>
      <w:r w:rsidR="00981FC0">
        <w:rPr>
          <w:rFonts w:ascii="Times New Roman" w:hAnsi="Times New Roman" w:cs="Times New Roman"/>
          <w:sz w:val="24"/>
          <w:szCs w:val="24"/>
        </w:rPr>
        <w:t xml:space="preserve"> į savo ugdymo įstaigas 2014 metais pristatė </w:t>
      </w:r>
      <w:r w:rsidR="005B4074">
        <w:rPr>
          <w:rFonts w:ascii="Times New Roman" w:hAnsi="Times New Roman" w:cs="Times New Roman"/>
          <w:sz w:val="24"/>
          <w:szCs w:val="24"/>
        </w:rPr>
        <w:t>33 152 moksleiviai</w:t>
      </w:r>
      <w:r w:rsidR="00D2169A">
        <w:rPr>
          <w:rFonts w:ascii="Times New Roman" w:hAnsi="Times New Roman" w:cs="Times New Roman"/>
          <w:sz w:val="24"/>
          <w:szCs w:val="24"/>
        </w:rPr>
        <w:t>, tai sudarė 94 proc. visų mokinių (1</w:t>
      </w:r>
      <w:r w:rsidR="00526461">
        <w:rPr>
          <w:rFonts w:ascii="Times New Roman" w:hAnsi="Times New Roman" w:cs="Times New Roman"/>
          <w:sz w:val="24"/>
          <w:szCs w:val="24"/>
        </w:rPr>
        <w:t xml:space="preserve"> </w:t>
      </w:r>
      <w:r w:rsidR="00D2169A">
        <w:rPr>
          <w:rFonts w:ascii="Times New Roman" w:hAnsi="Times New Roman" w:cs="Times New Roman"/>
          <w:sz w:val="24"/>
          <w:szCs w:val="24"/>
        </w:rPr>
        <w:t>pav.)</w:t>
      </w:r>
      <w:r w:rsidR="00997751">
        <w:rPr>
          <w:rFonts w:ascii="Times New Roman" w:hAnsi="Times New Roman" w:cs="Times New Roman"/>
          <w:sz w:val="24"/>
          <w:szCs w:val="24"/>
        </w:rPr>
        <w:t xml:space="preserve">. </w:t>
      </w:r>
    </w:p>
    <w:p w:rsidR="008B0517" w:rsidRDefault="008B0517" w:rsidP="00EF2E06">
      <w:pPr>
        <w:ind w:firstLine="1134"/>
        <w:rPr>
          <w:rFonts w:ascii="Times New Roman" w:hAnsi="Times New Roman" w:cs="Times New Roman"/>
          <w:sz w:val="24"/>
          <w:szCs w:val="24"/>
        </w:rPr>
      </w:pPr>
    </w:p>
    <w:p w:rsidR="008B0517" w:rsidRDefault="008B0517" w:rsidP="00EF2E06">
      <w:pPr>
        <w:ind w:firstLine="1134"/>
        <w:rPr>
          <w:rFonts w:ascii="Times New Roman" w:hAnsi="Times New Roman" w:cs="Times New Roman"/>
          <w:sz w:val="24"/>
          <w:szCs w:val="24"/>
        </w:rPr>
      </w:pPr>
      <w:r>
        <w:rPr>
          <w:noProof/>
          <w:lang w:eastAsia="lt-LT"/>
        </w:rPr>
        <w:drawing>
          <wp:inline distT="0" distB="0" distL="0" distR="0" wp14:anchorId="276F8266" wp14:editId="651ADB7B">
            <wp:extent cx="4591050" cy="25908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169A" w:rsidRDefault="00D2169A" w:rsidP="00EF2E06">
      <w:pPr>
        <w:ind w:firstLine="1134"/>
        <w:rPr>
          <w:rFonts w:ascii="Times New Roman" w:hAnsi="Times New Roman" w:cs="Times New Roman"/>
          <w:b/>
          <w:bCs/>
          <w:sz w:val="24"/>
          <w:szCs w:val="24"/>
        </w:rPr>
      </w:pPr>
      <w:r w:rsidRPr="00D2169A">
        <w:rPr>
          <w:rFonts w:ascii="Times New Roman" w:hAnsi="Times New Roman" w:cs="Times New Roman"/>
          <w:b/>
          <w:bCs/>
          <w:sz w:val="24"/>
          <w:szCs w:val="24"/>
        </w:rPr>
        <w:t>1 pav. Profilaktiškai sveikatą pasitikrinusių mokinių dalis, proc.</w:t>
      </w:r>
      <w:r w:rsidR="00CA0D3B">
        <w:rPr>
          <w:rFonts w:ascii="Times New Roman" w:hAnsi="Times New Roman" w:cs="Times New Roman"/>
          <w:b/>
          <w:bCs/>
          <w:sz w:val="24"/>
          <w:szCs w:val="24"/>
        </w:rPr>
        <w:t>, 2014 m.</w:t>
      </w:r>
    </w:p>
    <w:p w:rsidR="00D2169A" w:rsidRDefault="00D2169A" w:rsidP="00EF2E06">
      <w:pPr>
        <w:ind w:firstLine="1134"/>
        <w:rPr>
          <w:rFonts w:ascii="Times New Roman" w:hAnsi="Times New Roman" w:cs="Times New Roman"/>
          <w:b/>
          <w:bCs/>
          <w:sz w:val="24"/>
          <w:szCs w:val="24"/>
        </w:rPr>
      </w:pPr>
    </w:p>
    <w:p w:rsidR="00D2169A" w:rsidRPr="00CA0D3B" w:rsidRDefault="00D2169A" w:rsidP="00526461">
      <w:pPr>
        <w:ind w:firstLine="1134"/>
        <w:rPr>
          <w:rFonts w:ascii="Times New Roman" w:hAnsi="Times New Roman" w:cs="Times New Roman"/>
          <w:sz w:val="24"/>
          <w:szCs w:val="24"/>
        </w:rPr>
      </w:pPr>
      <w:r w:rsidRPr="00D2169A">
        <w:rPr>
          <w:rFonts w:ascii="Times New Roman" w:hAnsi="Times New Roman" w:cs="Times New Roman"/>
          <w:sz w:val="24"/>
          <w:szCs w:val="24"/>
        </w:rPr>
        <w:t>Atliekant vaikų sveikatos profilaktinių patikrinimų analizę, nustatyta, kad, kaip ir praėjusiais metais, pirmoje vietoje yra regos sistemos sutrikimai (</w:t>
      </w:r>
      <w:r>
        <w:rPr>
          <w:rFonts w:ascii="Times New Roman" w:hAnsi="Times New Roman" w:cs="Times New Roman"/>
          <w:sz w:val="24"/>
          <w:szCs w:val="24"/>
        </w:rPr>
        <w:t>16 078</w:t>
      </w:r>
      <w:r w:rsidRPr="00D2169A">
        <w:rPr>
          <w:rFonts w:ascii="Times New Roman" w:hAnsi="Times New Roman" w:cs="Times New Roman"/>
          <w:sz w:val="24"/>
          <w:szCs w:val="24"/>
        </w:rPr>
        <w:t xml:space="preserve"> atvejai, kurie sudarė </w:t>
      </w:r>
      <w:r>
        <w:rPr>
          <w:rFonts w:ascii="Times New Roman" w:hAnsi="Times New Roman" w:cs="Times New Roman"/>
          <w:sz w:val="24"/>
          <w:szCs w:val="24"/>
        </w:rPr>
        <w:t>48,5</w:t>
      </w:r>
      <w:r w:rsidRPr="00D2169A">
        <w:rPr>
          <w:rFonts w:ascii="Times New Roman" w:hAnsi="Times New Roman" w:cs="Times New Roman"/>
          <w:sz w:val="24"/>
          <w:szCs w:val="24"/>
        </w:rPr>
        <w:t xml:space="preserve"> proc. visų pasitikrinusių mokinių), antroje – skeleto-raumenų sistemos sutrikimai (</w:t>
      </w:r>
      <w:r w:rsidR="00D535C8">
        <w:rPr>
          <w:rFonts w:ascii="Times New Roman" w:hAnsi="Times New Roman" w:cs="Times New Roman"/>
          <w:sz w:val="24"/>
          <w:szCs w:val="24"/>
        </w:rPr>
        <w:t>11 481</w:t>
      </w:r>
      <w:r w:rsidRPr="00D2169A">
        <w:rPr>
          <w:rFonts w:ascii="Times New Roman" w:hAnsi="Times New Roman" w:cs="Times New Roman"/>
          <w:sz w:val="24"/>
          <w:szCs w:val="24"/>
        </w:rPr>
        <w:t xml:space="preserve"> atvejai arba </w:t>
      </w:r>
      <w:r w:rsidR="00D535C8">
        <w:rPr>
          <w:rFonts w:ascii="Times New Roman" w:hAnsi="Times New Roman" w:cs="Times New Roman"/>
          <w:sz w:val="24"/>
          <w:szCs w:val="24"/>
        </w:rPr>
        <w:t>34,6</w:t>
      </w:r>
      <w:r w:rsidRPr="00D2169A">
        <w:rPr>
          <w:rFonts w:ascii="Times New Roman" w:hAnsi="Times New Roman" w:cs="Times New Roman"/>
          <w:sz w:val="24"/>
          <w:szCs w:val="24"/>
        </w:rPr>
        <w:t xml:space="preserve"> proc.), trečioje – kraujotakos sistemos (</w:t>
      </w:r>
      <w:r w:rsidR="00CA0D3B">
        <w:rPr>
          <w:rFonts w:ascii="Times New Roman" w:hAnsi="Times New Roman" w:cs="Times New Roman"/>
          <w:sz w:val="24"/>
          <w:szCs w:val="24"/>
        </w:rPr>
        <w:t>4 097</w:t>
      </w:r>
      <w:r w:rsidRPr="00D2169A">
        <w:rPr>
          <w:rFonts w:ascii="Times New Roman" w:hAnsi="Times New Roman" w:cs="Times New Roman"/>
          <w:sz w:val="24"/>
          <w:szCs w:val="24"/>
        </w:rPr>
        <w:t xml:space="preserve"> atvejai arba </w:t>
      </w:r>
      <w:r w:rsidR="00CA0D3B">
        <w:rPr>
          <w:rFonts w:ascii="Times New Roman" w:hAnsi="Times New Roman" w:cs="Times New Roman"/>
          <w:sz w:val="24"/>
          <w:szCs w:val="24"/>
        </w:rPr>
        <w:t>12,4</w:t>
      </w:r>
      <w:r w:rsidRPr="00D2169A">
        <w:rPr>
          <w:rFonts w:ascii="Times New Roman" w:hAnsi="Times New Roman" w:cs="Times New Roman"/>
          <w:sz w:val="24"/>
          <w:szCs w:val="24"/>
        </w:rPr>
        <w:t xml:space="preserve"> proc.) ir kvėpavimo sistemos (4</w:t>
      </w:r>
      <w:r w:rsidR="00CA0D3B">
        <w:rPr>
          <w:rFonts w:ascii="Times New Roman" w:hAnsi="Times New Roman" w:cs="Times New Roman"/>
          <w:sz w:val="24"/>
          <w:szCs w:val="24"/>
        </w:rPr>
        <w:t xml:space="preserve"> 002</w:t>
      </w:r>
      <w:r w:rsidRPr="00D2169A">
        <w:rPr>
          <w:rFonts w:ascii="Times New Roman" w:hAnsi="Times New Roman" w:cs="Times New Roman"/>
          <w:sz w:val="24"/>
          <w:szCs w:val="24"/>
        </w:rPr>
        <w:t xml:space="preserve"> atvejai arba </w:t>
      </w:r>
      <w:r w:rsidR="00CA0D3B">
        <w:rPr>
          <w:rFonts w:ascii="Times New Roman" w:hAnsi="Times New Roman" w:cs="Times New Roman"/>
          <w:sz w:val="24"/>
          <w:szCs w:val="24"/>
        </w:rPr>
        <w:t>12,1</w:t>
      </w:r>
      <w:r w:rsidRPr="00D2169A">
        <w:rPr>
          <w:rFonts w:ascii="Times New Roman" w:hAnsi="Times New Roman" w:cs="Times New Roman"/>
          <w:sz w:val="24"/>
          <w:szCs w:val="24"/>
        </w:rPr>
        <w:t xml:space="preserve"> proc.) sutrikimai.</w:t>
      </w:r>
      <w:r w:rsidR="00CA0D3B">
        <w:rPr>
          <w:rFonts w:ascii="Times New Roman" w:hAnsi="Times New Roman" w:cs="Times New Roman"/>
          <w:sz w:val="24"/>
          <w:szCs w:val="24"/>
        </w:rPr>
        <w:t xml:space="preserve"> </w:t>
      </w:r>
      <w:r w:rsidR="00CA0D3B" w:rsidRPr="00CA0D3B">
        <w:rPr>
          <w:rFonts w:ascii="Times New Roman" w:hAnsi="Times New Roman" w:cs="Times New Roman"/>
          <w:sz w:val="24"/>
          <w:szCs w:val="24"/>
        </w:rPr>
        <w:t>Rečiau užregistruota nervų (</w:t>
      </w:r>
      <w:r w:rsidR="00CA0D3B">
        <w:rPr>
          <w:rFonts w:ascii="Times New Roman" w:hAnsi="Times New Roman" w:cs="Times New Roman"/>
          <w:sz w:val="24"/>
          <w:szCs w:val="24"/>
        </w:rPr>
        <w:t>1 671</w:t>
      </w:r>
      <w:r w:rsidR="00CA0D3B" w:rsidRPr="00CA0D3B">
        <w:rPr>
          <w:rFonts w:ascii="Times New Roman" w:hAnsi="Times New Roman" w:cs="Times New Roman"/>
          <w:sz w:val="24"/>
          <w:szCs w:val="24"/>
        </w:rPr>
        <w:t xml:space="preserve"> atvejai arba </w:t>
      </w:r>
      <w:r w:rsidR="00CA0D3B">
        <w:rPr>
          <w:rFonts w:ascii="Times New Roman" w:hAnsi="Times New Roman" w:cs="Times New Roman"/>
          <w:sz w:val="24"/>
          <w:szCs w:val="24"/>
        </w:rPr>
        <w:t>5</w:t>
      </w:r>
      <w:r w:rsidR="00CA0D3B" w:rsidRPr="00CA0D3B">
        <w:rPr>
          <w:rFonts w:ascii="Times New Roman" w:hAnsi="Times New Roman" w:cs="Times New Roman"/>
          <w:sz w:val="24"/>
          <w:szCs w:val="24"/>
        </w:rPr>
        <w:t xml:space="preserve"> proc.), virškinimo sistemos (</w:t>
      </w:r>
      <w:r w:rsidR="00CA0D3B">
        <w:rPr>
          <w:rFonts w:ascii="Times New Roman" w:hAnsi="Times New Roman" w:cs="Times New Roman"/>
          <w:sz w:val="24"/>
          <w:szCs w:val="24"/>
        </w:rPr>
        <w:t>443</w:t>
      </w:r>
      <w:r w:rsidR="00CA0D3B" w:rsidRPr="00CA0D3B">
        <w:rPr>
          <w:rFonts w:ascii="Times New Roman" w:hAnsi="Times New Roman" w:cs="Times New Roman"/>
          <w:sz w:val="24"/>
          <w:szCs w:val="24"/>
        </w:rPr>
        <w:t xml:space="preserve"> atvejai arba </w:t>
      </w:r>
      <w:r w:rsidR="00CA0D3B">
        <w:rPr>
          <w:rFonts w:ascii="Times New Roman" w:hAnsi="Times New Roman" w:cs="Times New Roman"/>
          <w:sz w:val="24"/>
          <w:szCs w:val="24"/>
        </w:rPr>
        <w:t>1,3</w:t>
      </w:r>
      <w:r w:rsidR="00CA0D3B" w:rsidRPr="00CA0D3B">
        <w:rPr>
          <w:rFonts w:ascii="Times New Roman" w:hAnsi="Times New Roman" w:cs="Times New Roman"/>
          <w:sz w:val="24"/>
          <w:szCs w:val="24"/>
        </w:rPr>
        <w:t xml:space="preserve"> proc.), odos ir jos priedų (</w:t>
      </w:r>
      <w:r w:rsidR="00CA0D3B">
        <w:rPr>
          <w:rFonts w:ascii="Times New Roman" w:hAnsi="Times New Roman" w:cs="Times New Roman"/>
          <w:sz w:val="24"/>
          <w:szCs w:val="24"/>
        </w:rPr>
        <w:t>731</w:t>
      </w:r>
      <w:r w:rsidR="00CA0D3B" w:rsidRPr="00CA0D3B">
        <w:rPr>
          <w:rFonts w:ascii="Times New Roman" w:hAnsi="Times New Roman" w:cs="Times New Roman"/>
          <w:sz w:val="24"/>
          <w:szCs w:val="24"/>
        </w:rPr>
        <w:t xml:space="preserve"> atvejai arba </w:t>
      </w:r>
      <w:r w:rsidR="00CA0D3B">
        <w:rPr>
          <w:rFonts w:ascii="Times New Roman" w:hAnsi="Times New Roman" w:cs="Times New Roman"/>
          <w:sz w:val="24"/>
          <w:szCs w:val="24"/>
        </w:rPr>
        <w:t>2,2</w:t>
      </w:r>
      <w:r w:rsidR="00CA0D3B" w:rsidRPr="00CA0D3B">
        <w:rPr>
          <w:rFonts w:ascii="Times New Roman" w:hAnsi="Times New Roman" w:cs="Times New Roman"/>
          <w:sz w:val="24"/>
          <w:szCs w:val="24"/>
        </w:rPr>
        <w:t xml:space="preserve"> proc.), klausos sistemos (1</w:t>
      </w:r>
      <w:r w:rsidR="00CA0D3B">
        <w:rPr>
          <w:rFonts w:ascii="Times New Roman" w:hAnsi="Times New Roman" w:cs="Times New Roman"/>
          <w:sz w:val="24"/>
          <w:szCs w:val="24"/>
        </w:rPr>
        <w:t>87</w:t>
      </w:r>
      <w:r w:rsidR="00CA0D3B" w:rsidRPr="00CA0D3B">
        <w:rPr>
          <w:rFonts w:ascii="Times New Roman" w:hAnsi="Times New Roman" w:cs="Times New Roman"/>
          <w:sz w:val="24"/>
          <w:szCs w:val="24"/>
        </w:rPr>
        <w:t xml:space="preserve"> atvejų arba 0,</w:t>
      </w:r>
      <w:r w:rsidR="00CA0D3B">
        <w:rPr>
          <w:rFonts w:ascii="Times New Roman" w:hAnsi="Times New Roman" w:cs="Times New Roman"/>
          <w:sz w:val="24"/>
          <w:szCs w:val="24"/>
        </w:rPr>
        <w:t>6</w:t>
      </w:r>
      <w:r w:rsidR="00CA0D3B" w:rsidRPr="00CA0D3B">
        <w:rPr>
          <w:rFonts w:ascii="Times New Roman" w:hAnsi="Times New Roman" w:cs="Times New Roman"/>
          <w:sz w:val="24"/>
          <w:szCs w:val="24"/>
        </w:rPr>
        <w:t xml:space="preserve"> proc.), endokrininės sistemos (1</w:t>
      </w:r>
      <w:r w:rsidR="00CA0D3B">
        <w:rPr>
          <w:rFonts w:ascii="Times New Roman" w:hAnsi="Times New Roman" w:cs="Times New Roman"/>
          <w:sz w:val="24"/>
          <w:szCs w:val="24"/>
        </w:rPr>
        <w:t xml:space="preserve"> 872</w:t>
      </w:r>
      <w:r w:rsidR="00CA0D3B" w:rsidRPr="00CA0D3B">
        <w:rPr>
          <w:rFonts w:ascii="Times New Roman" w:hAnsi="Times New Roman" w:cs="Times New Roman"/>
          <w:sz w:val="24"/>
          <w:szCs w:val="24"/>
        </w:rPr>
        <w:t xml:space="preserve"> atvejų arba </w:t>
      </w:r>
      <w:r w:rsidR="00CA0D3B">
        <w:rPr>
          <w:rFonts w:ascii="Times New Roman" w:hAnsi="Times New Roman" w:cs="Times New Roman"/>
          <w:sz w:val="24"/>
          <w:szCs w:val="24"/>
        </w:rPr>
        <w:t>5,6 proc.) sutrikimų (2 pav.).</w:t>
      </w:r>
    </w:p>
    <w:p w:rsidR="00116200" w:rsidRDefault="00116200">
      <w:pPr>
        <w:rPr>
          <w:rFonts w:ascii="Times New Roman" w:hAnsi="Times New Roman" w:cs="Times New Roman"/>
          <w:sz w:val="24"/>
          <w:szCs w:val="24"/>
        </w:rPr>
      </w:pPr>
    </w:p>
    <w:p w:rsidR="00A439C9" w:rsidRDefault="00A439C9">
      <w:pPr>
        <w:rPr>
          <w:rFonts w:ascii="Times New Roman" w:hAnsi="Times New Roman" w:cs="Times New Roman"/>
          <w:sz w:val="24"/>
          <w:szCs w:val="24"/>
        </w:rPr>
      </w:pPr>
      <w:r>
        <w:rPr>
          <w:noProof/>
          <w:lang w:eastAsia="lt-LT"/>
        </w:rPr>
        <w:lastRenderedPageBreak/>
        <w:drawing>
          <wp:inline distT="0" distB="0" distL="0" distR="0" wp14:anchorId="47354A90" wp14:editId="0C4FF817">
            <wp:extent cx="5905501" cy="2757488"/>
            <wp:effectExtent l="0" t="0" r="0" b="508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0D3B" w:rsidRDefault="00CA0D3B" w:rsidP="00526461">
      <w:pPr>
        <w:spacing w:line="240" w:lineRule="auto"/>
        <w:jc w:val="center"/>
        <w:rPr>
          <w:rFonts w:ascii="Times New Roman" w:hAnsi="Times New Roman" w:cs="Times New Roman"/>
          <w:b/>
          <w:bCs/>
          <w:sz w:val="24"/>
          <w:szCs w:val="24"/>
        </w:rPr>
      </w:pPr>
      <w:r w:rsidRPr="00CA0D3B">
        <w:rPr>
          <w:rFonts w:ascii="Times New Roman" w:hAnsi="Times New Roman" w:cs="Times New Roman"/>
          <w:b/>
          <w:bCs/>
          <w:sz w:val="24"/>
          <w:szCs w:val="24"/>
        </w:rPr>
        <w:t>2 pav. Profilaktiškai pasitikrinusių mokinių sergamumas, proc.</w:t>
      </w:r>
      <w:r>
        <w:rPr>
          <w:rFonts w:ascii="Times New Roman" w:hAnsi="Times New Roman" w:cs="Times New Roman"/>
          <w:b/>
          <w:bCs/>
          <w:sz w:val="24"/>
          <w:szCs w:val="24"/>
        </w:rPr>
        <w:t>, 2014 m.</w:t>
      </w:r>
    </w:p>
    <w:p w:rsidR="00CA0D3B" w:rsidRDefault="00CA0D3B">
      <w:pPr>
        <w:rPr>
          <w:rFonts w:ascii="Times New Roman" w:hAnsi="Times New Roman" w:cs="Times New Roman"/>
          <w:b/>
          <w:bCs/>
          <w:sz w:val="24"/>
          <w:szCs w:val="24"/>
        </w:rPr>
      </w:pPr>
    </w:p>
    <w:p w:rsidR="00CA0D3B" w:rsidRDefault="00B04302" w:rsidP="00526461">
      <w:pPr>
        <w:ind w:firstLine="1134"/>
        <w:rPr>
          <w:rFonts w:ascii="Times New Roman" w:hAnsi="Times New Roman" w:cs="Times New Roman"/>
          <w:sz w:val="24"/>
          <w:szCs w:val="24"/>
        </w:rPr>
      </w:pPr>
      <w:r w:rsidRPr="00B04302">
        <w:rPr>
          <w:rFonts w:ascii="Times New Roman" w:hAnsi="Times New Roman" w:cs="Times New Roman"/>
          <w:sz w:val="24"/>
          <w:szCs w:val="24"/>
        </w:rPr>
        <w:t xml:space="preserve">Lyginant </w:t>
      </w:r>
      <w:r>
        <w:rPr>
          <w:rFonts w:ascii="Times New Roman" w:hAnsi="Times New Roman" w:cs="Times New Roman"/>
          <w:sz w:val="24"/>
          <w:szCs w:val="24"/>
        </w:rPr>
        <w:t>2014 m.</w:t>
      </w:r>
      <w:r w:rsidRPr="00B04302">
        <w:rPr>
          <w:rFonts w:ascii="Times New Roman" w:hAnsi="Times New Roman" w:cs="Times New Roman"/>
          <w:sz w:val="24"/>
          <w:szCs w:val="24"/>
        </w:rPr>
        <w:t xml:space="preserve"> metų profilaktinių patikrinimų duomenis su praėjusiais</w:t>
      </w:r>
      <w:r w:rsidR="002B5E57">
        <w:rPr>
          <w:rFonts w:ascii="Times New Roman" w:hAnsi="Times New Roman" w:cs="Times New Roman"/>
          <w:sz w:val="24"/>
          <w:szCs w:val="24"/>
        </w:rPr>
        <w:t xml:space="preserve"> metais</w:t>
      </w:r>
      <w:r>
        <w:rPr>
          <w:rFonts w:ascii="Times New Roman" w:hAnsi="Times New Roman" w:cs="Times New Roman"/>
          <w:sz w:val="24"/>
          <w:szCs w:val="24"/>
        </w:rPr>
        <w:t xml:space="preserve"> (2013 m.)</w:t>
      </w:r>
      <w:r w:rsidRPr="00B04302">
        <w:rPr>
          <w:rFonts w:ascii="Times New Roman" w:hAnsi="Times New Roman" w:cs="Times New Roman"/>
          <w:sz w:val="24"/>
          <w:szCs w:val="24"/>
        </w:rPr>
        <w:t xml:space="preserve">, nustatyta, kad </w:t>
      </w:r>
      <w:r>
        <w:rPr>
          <w:rFonts w:ascii="Times New Roman" w:hAnsi="Times New Roman" w:cs="Times New Roman"/>
          <w:sz w:val="24"/>
          <w:szCs w:val="24"/>
        </w:rPr>
        <w:t>analizuojamais</w:t>
      </w:r>
      <w:r w:rsidRPr="00B04302">
        <w:rPr>
          <w:rFonts w:ascii="Times New Roman" w:hAnsi="Times New Roman" w:cs="Times New Roman"/>
          <w:sz w:val="24"/>
          <w:szCs w:val="24"/>
        </w:rPr>
        <w:t xml:space="preserve"> metais padidėjo: </w:t>
      </w:r>
      <w:r w:rsidR="00D548B8">
        <w:rPr>
          <w:rFonts w:ascii="Times New Roman" w:hAnsi="Times New Roman" w:cs="Times New Roman"/>
          <w:sz w:val="24"/>
          <w:szCs w:val="24"/>
        </w:rPr>
        <w:t>regos</w:t>
      </w:r>
      <w:r w:rsidRPr="00B04302">
        <w:rPr>
          <w:rFonts w:ascii="Times New Roman" w:hAnsi="Times New Roman" w:cs="Times New Roman"/>
          <w:sz w:val="24"/>
          <w:szCs w:val="24"/>
        </w:rPr>
        <w:t xml:space="preserve"> sistemos sutrikimų </w:t>
      </w:r>
      <w:r w:rsidR="00D548B8">
        <w:rPr>
          <w:rFonts w:ascii="Times New Roman" w:hAnsi="Times New Roman" w:cs="Times New Roman"/>
          <w:sz w:val="24"/>
          <w:szCs w:val="24"/>
        </w:rPr>
        <w:t>–</w:t>
      </w:r>
      <w:r w:rsidRPr="00B04302">
        <w:rPr>
          <w:rFonts w:ascii="Times New Roman" w:hAnsi="Times New Roman" w:cs="Times New Roman"/>
          <w:sz w:val="24"/>
          <w:szCs w:val="24"/>
        </w:rPr>
        <w:t xml:space="preserve"> 6</w:t>
      </w:r>
      <w:r w:rsidR="00D548B8">
        <w:rPr>
          <w:rFonts w:ascii="Times New Roman" w:hAnsi="Times New Roman" w:cs="Times New Roman"/>
          <w:sz w:val="24"/>
          <w:szCs w:val="24"/>
        </w:rPr>
        <w:t>,4</w:t>
      </w:r>
      <w:r w:rsidRPr="00B04302">
        <w:rPr>
          <w:rFonts w:ascii="Times New Roman" w:hAnsi="Times New Roman" w:cs="Times New Roman"/>
          <w:sz w:val="24"/>
          <w:szCs w:val="24"/>
        </w:rPr>
        <w:t xml:space="preserve"> proc., </w:t>
      </w:r>
      <w:r w:rsidR="00D548B8">
        <w:rPr>
          <w:rFonts w:ascii="Times New Roman" w:hAnsi="Times New Roman" w:cs="Times New Roman"/>
          <w:sz w:val="24"/>
          <w:szCs w:val="24"/>
        </w:rPr>
        <w:t xml:space="preserve">kraujotakos sistemos sutrikimų – 2,1 proc., </w:t>
      </w:r>
      <w:r w:rsidRPr="00B04302">
        <w:rPr>
          <w:rFonts w:ascii="Times New Roman" w:hAnsi="Times New Roman" w:cs="Times New Roman"/>
          <w:sz w:val="24"/>
          <w:szCs w:val="24"/>
        </w:rPr>
        <w:t xml:space="preserve">kvėpavimo sistemos sutrikimų </w:t>
      </w:r>
      <w:r w:rsidR="00D548B8">
        <w:rPr>
          <w:rFonts w:ascii="Times New Roman" w:hAnsi="Times New Roman" w:cs="Times New Roman"/>
          <w:sz w:val="24"/>
          <w:szCs w:val="24"/>
        </w:rPr>
        <w:t>–</w:t>
      </w:r>
      <w:r w:rsidRPr="00B04302">
        <w:rPr>
          <w:rFonts w:ascii="Times New Roman" w:hAnsi="Times New Roman" w:cs="Times New Roman"/>
          <w:sz w:val="24"/>
          <w:szCs w:val="24"/>
        </w:rPr>
        <w:t xml:space="preserve"> </w:t>
      </w:r>
      <w:r w:rsidR="00D548B8">
        <w:rPr>
          <w:rFonts w:ascii="Times New Roman" w:hAnsi="Times New Roman" w:cs="Times New Roman"/>
          <w:sz w:val="24"/>
          <w:szCs w:val="24"/>
        </w:rPr>
        <w:t>1,3</w:t>
      </w:r>
      <w:r w:rsidRPr="00B04302">
        <w:rPr>
          <w:rFonts w:ascii="Times New Roman" w:hAnsi="Times New Roman" w:cs="Times New Roman"/>
          <w:sz w:val="24"/>
          <w:szCs w:val="24"/>
        </w:rPr>
        <w:t xml:space="preserve"> proc., </w:t>
      </w:r>
      <w:r w:rsidR="00D548B8">
        <w:rPr>
          <w:rFonts w:ascii="Times New Roman" w:hAnsi="Times New Roman" w:cs="Times New Roman"/>
          <w:sz w:val="24"/>
          <w:szCs w:val="24"/>
        </w:rPr>
        <w:t xml:space="preserve">maždaug 1 proc. </w:t>
      </w:r>
      <w:r w:rsidRPr="00B04302">
        <w:rPr>
          <w:rFonts w:ascii="Times New Roman" w:hAnsi="Times New Roman" w:cs="Times New Roman"/>
          <w:sz w:val="24"/>
          <w:szCs w:val="24"/>
        </w:rPr>
        <w:t xml:space="preserve">- </w:t>
      </w:r>
      <w:r w:rsidR="00D548B8">
        <w:rPr>
          <w:rFonts w:ascii="Times New Roman" w:hAnsi="Times New Roman" w:cs="Times New Roman"/>
          <w:sz w:val="24"/>
          <w:szCs w:val="24"/>
        </w:rPr>
        <w:t>endokrininės</w:t>
      </w:r>
      <w:r w:rsidRPr="00B04302">
        <w:rPr>
          <w:rFonts w:ascii="Times New Roman" w:hAnsi="Times New Roman" w:cs="Times New Roman"/>
          <w:sz w:val="24"/>
          <w:szCs w:val="24"/>
        </w:rPr>
        <w:t xml:space="preserve"> sistemos sutrikimų (3 pav.).</w:t>
      </w:r>
    </w:p>
    <w:p w:rsidR="00642B1B" w:rsidRDefault="00642B1B">
      <w:pPr>
        <w:rPr>
          <w:rFonts w:ascii="Times New Roman" w:hAnsi="Times New Roman" w:cs="Times New Roman"/>
          <w:b/>
          <w:bCs/>
          <w:sz w:val="23"/>
          <w:szCs w:val="23"/>
        </w:rPr>
      </w:pPr>
    </w:p>
    <w:p w:rsidR="00642B1B" w:rsidRDefault="00642B1B">
      <w:pPr>
        <w:rPr>
          <w:rFonts w:ascii="Times New Roman" w:hAnsi="Times New Roman" w:cs="Times New Roman"/>
          <w:sz w:val="24"/>
          <w:szCs w:val="24"/>
        </w:rPr>
      </w:pPr>
      <w:r>
        <w:rPr>
          <w:noProof/>
          <w:lang w:eastAsia="lt-LT"/>
        </w:rPr>
        <w:drawing>
          <wp:inline distT="0" distB="0" distL="0" distR="0" wp14:anchorId="665DEC22" wp14:editId="65A1DDEB">
            <wp:extent cx="5867401" cy="2805113"/>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755C" w:rsidRDefault="00CD755C" w:rsidP="00526461">
      <w:pPr>
        <w:spacing w:line="240" w:lineRule="auto"/>
        <w:ind w:firstLine="1134"/>
        <w:jc w:val="center"/>
        <w:rPr>
          <w:rFonts w:ascii="Times New Roman" w:hAnsi="Times New Roman" w:cs="Times New Roman"/>
          <w:b/>
          <w:bCs/>
          <w:sz w:val="23"/>
          <w:szCs w:val="23"/>
        </w:rPr>
      </w:pPr>
      <w:r w:rsidRPr="002B5E57">
        <w:rPr>
          <w:rFonts w:ascii="Times New Roman" w:hAnsi="Times New Roman" w:cs="Times New Roman"/>
          <w:b/>
          <w:bCs/>
          <w:sz w:val="23"/>
          <w:szCs w:val="23"/>
        </w:rPr>
        <w:t>3 pav. Profilaktiškai pasitikrinusių mokinių sergamumo palyginimas pagal metus, proc.</w:t>
      </w:r>
    </w:p>
    <w:p w:rsidR="00CD755C" w:rsidRDefault="00CD755C">
      <w:pPr>
        <w:rPr>
          <w:rFonts w:ascii="Times New Roman" w:hAnsi="Times New Roman" w:cs="Times New Roman"/>
          <w:sz w:val="24"/>
          <w:szCs w:val="24"/>
        </w:rPr>
      </w:pPr>
    </w:p>
    <w:p w:rsidR="00CD755C" w:rsidRDefault="00CD755C" w:rsidP="00526461">
      <w:pPr>
        <w:ind w:firstLine="1134"/>
        <w:rPr>
          <w:rFonts w:ascii="Times New Roman" w:hAnsi="Times New Roman" w:cs="Times New Roman"/>
          <w:sz w:val="24"/>
          <w:szCs w:val="24"/>
        </w:rPr>
      </w:pPr>
      <w:r>
        <w:rPr>
          <w:rFonts w:ascii="Times New Roman" w:hAnsi="Times New Roman" w:cs="Times New Roman"/>
          <w:sz w:val="24"/>
          <w:szCs w:val="24"/>
        </w:rPr>
        <w:t xml:space="preserve">Skeleto-raumenų sistemos sutrikimų skaičius sumažėjo 1,9 proc., šiek tiek sumažėjo virškinimo sistemos ir nervų sistemos sutrikimų turinčių vaikų, klausos sutrikimų turinčių vaikų procentas sumažėjo beveik dvigubai. </w:t>
      </w:r>
    </w:p>
    <w:p w:rsidR="001E753B" w:rsidRDefault="001E753B" w:rsidP="00526461">
      <w:pPr>
        <w:ind w:firstLine="1134"/>
        <w:rPr>
          <w:rFonts w:ascii="Times New Roman" w:hAnsi="Times New Roman" w:cs="Times New Roman"/>
          <w:sz w:val="23"/>
          <w:szCs w:val="23"/>
        </w:rPr>
      </w:pPr>
      <w:r w:rsidRPr="001E753B">
        <w:rPr>
          <w:rFonts w:ascii="Times New Roman" w:hAnsi="Times New Roman" w:cs="Times New Roman"/>
          <w:b/>
          <w:bCs/>
          <w:sz w:val="23"/>
          <w:szCs w:val="23"/>
        </w:rPr>
        <w:lastRenderedPageBreak/>
        <w:t xml:space="preserve">Pirmų klasių </w:t>
      </w:r>
      <w:r w:rsidRPr="001E753B">
        <w:rPr>
          <w:rFonts w:ascii="Times New Roman" w:hAnsi="Times New Roman" w:cs="Times New Roman"/>
          <w:sz w:val="23"/>
          <w:szCs w:val="23"/>
        </w:rPr>
        <w:t>mokiniams dažniausiai nustatyti regos sistemos (</w:t>
      </w:r>
      <w:r>
        <w:rPr>
          <w:rFonts w:ascii="Times New Roman" w:hAnsi="Times New Roman" w:cs="Times New Roman"/>
          <w:sz w:val="23"/>
          <w:szCs w:val="23"/>
        </w:rPr>
        <w:t>53,7</w:t>
      </w:r>
      <w:r w:rsidRPr="001E753B">
        <w:rPr>
          <w:rFonts w:ascii="Times New Roman" w:hAnsi="Times New Roman" w:cs="Times New Roman"/>
          <w:sz w:val="23"/>
          <w:szCs w:val="23"/>
        </w:rPr>
        <w:t xml:space="preserve"> proc. visų pirmokų) ir skeleto-raumenų sistemos (</w:t>
      </w:r>
      <w:r>
        <w:rPr>
          <w:rFonts w:ascii="Times New Roman" w:hAnsi="Times New Roman" w:cs="Times New Roman"/>
          <w:sz w:val="23"/>
          <w:szCs w:val="23"/>
        </w:rPr>
        <w:t>31,1</w:t>
      </w:r>
      <w:r w:rsidRPr="001E753B">
        <w:rPr>
          <w:rFonts w:ascii="Times New Roman" w:hAnsi="Times New Roman" w:cs="Times New Roman"/>
          <w:sz w:val="23"/>
          <w:szCs w:val="23"/>
        </w:rPr>
        <w:t xml:space="preserve"> proc.) sutrikimai. Kvėpavimo sistemos</w:t>
      </w:r>
      <w:r>
        <w:rPr>
          <w:rFonts w:ascii="Times New Roman" w:hAnsi="Times New Roman" w:cs="Times New Roman"/>
          <w:sz w:val="23"/>
          <w:szCs w:val="23"/>
        </w:rPr>
        <w:t xml:space="preserve"> ir kraujotakos sistemos</w:t>
      </w:r>
      <w:r w:rsidRPr="001E753B">
        <w:rPr>
          <w:rFonts w:ascii="Times New Roman" w:hAnsi="Times New Roman" w:cs="Times New Roman"/>
          <w:sz w:val="23"/>
          <w:szCs w:val="23"/>
        </w:rPr>
        <w:t xml:space="preserve"> sutrikimai sudarė </w:t>
      </w:r>
      <w:r>
        <w:rPr>
          <w:rFonts w:ascii="Times New Roman" w:hAnsi="Times New Roman" w:cs="Times New Roman"/>
          <w:sz w:val="23"/>
          <w:szCs w:val="23"/>
        </w:rPr>
        <w:t>maždaug po 16,5</w:t>
      </w:r>
      <w:r w:rsidRPr="001E753B">
        <w:rPr>
          <w:rFonts w:ascii="Times New Roman" w:hAnsi="Times New Roman" w:cs="Times New Roman"/>
          <w:sz w:val="23"/>
          <w:szCs w:val="23"/>
        </w:rPr>
        <w:t xml:space="preserve"> proc., </w:t>
      </w:r>
      <w:r>
        <w:rPr>
          <w:rFonts w:ascii="Times New Roman" w:hAnsi="Times New Roman" w:cs="Times New Roman"/>
          <w:sz w:val="23"/>
          <w:szCs w:val="23"/>
        </w:rPr>
        <w:t xml:space="preserve"> </w:t>
      </w:r>
      <w:r w:rsidR="00E20217">
        <w:rPr>
          <w:rFonts w:ascii="Times New Roman" w:hAnsi="Times New Roman" w:cs="Times New Roman"/>
          <w:sz w:val="23"/>
          <w:szCs w:val="23"/>
        </w:rPr>
        <w:t xml:space="preserve">nervų sistemos sutrikimai - </w:t>
      </w:r>
      <w:r w:rsidRPr="001E753B">
        <w:rPr>
          <w:rFonts w:ascii="Times New Roman" w:hAnsi="Times New Roman" w:cs="Times New Roman"/>
          <w:sz w:val="23"/>
          <w:szCs w:val="23"/>
        </w:rPr>
        <w:t>6,</w:t>
      </w:r>
      <w:r>
        <w:rPr>
          <w:rFonts w:ascii="Times New Roman" w:hAnsi="Times New Roman" w:cs="Times New Roman"/>
          <w:sz w:val="23"/>
          <w:szCs w:val="23"/>
        </w:rPr>
        <w:t>7</w:t>
      </w:r>
      <w:r w:rsidRPr="001E753B">
        <w:rPr>
          <w:rFonts w:ascii="Times New Roman" w:hAnsi="Times New Roman" w:cs="Times New Roman"/>
          <w:sz w:val="23"/>
          <w:szCs w:val="23"/>
        </w:rPr>
        <w:t xml:space="preserve"> proc., virškinimo sistemos - </w:t>
      </w:r>
      <w:r>
        <w:rPr>
          <w:rFonts w:ascii="Times New Roman" w:hAnsi="Times New Roman" w:cs="Times New Roman"/>
          <w:sz w:val="23"/>
          <w:szCs w:val="23"/>
        </w:rPr>
        <w:t>0</w:t>
      </w:r>
      <w:r w:rsidRPr="001E753B">
        <w:rPr>
          <w:rFonts w:ascii="Times New Roman" w:hAnsi="Times New Roman" w:cs="Times New Roman"/>
          <w:sz w:val="23"/>
          <w:szCs w:val="23"/>
        </w:rPr>
        <w:t>,</w:t>
      </w:r>
      <w:r>
        <w:rPr>
          <w:rFonts w:ascii="Times New Roman" w:hAnsi="Times New Roman" w:cs="Times New Roman"/>
          <w:sz w:val="23"/>
          <w:szCs w:val="23"/>
        </w:rPr>
        <w:t>6</w:t>
      </w:r>
      <w:r w:rsidRPr="001E753B">
        <w:rPr>
          <w:rFonts w:ascii="Times New Roman" w:hAnsi="Times New Roman" w:cs="Times New Roman"/>
          <w:sz w:val="23"/>
          <w:szCs w:val="23"/>
        </w:rPr>
        <w:t xml:space="preserve"> proc.,</w:t>
      </w:r>
      <w:r>
        <w:rPr>
          <w:rFonts w:ascii="Times New Roman" w:hAnsi="Times New Roman" w:cs="Times New Roman"/>
          <w:sz w:val="23"/>
          <w:szCs w:val="23"/>
        </w:rPr>
        <w:t xml:space="preserve"> endokrininės sistemos sut</w:t>
      </w:r>
      <w:r w:rsidR="00E20217">
        <w:rPr>
          <w:rFonts w:ascii="Times New Roman" w:hAnsi="Times New Roman" w:cs="Times New Roman"/>
          <w:sz w:val="23"/>
          <w:szCs w:val="23"/>
        </w:rPr>
        <w:t>rikimų turėjo 2,7 proc. pirmokų, 7,6 proc. vaikų turėjo kalbos defektų (4 pav.)</w:t>
      </w:r>
    </w:p>
    <w:p w:rsidR="00CD755C" w:rsidRDefault="001E753B">
      <w:pPr>
        <w:rPr>
          <w:rFonts w:ascii="Times New Roman" w:hAnsi="Times New Roman" w:cs="Times New Roman"/>
          <w:sz w:val="24"/>
          <w:szCs w:val="24"/>
        </w:rPr>
      </w:pPr>
      <w:r w:rsidRPr="001E753B">
        <w:rPr>
          <w:rFonts w:ascii="Times New Roman" w:hAnsi="Times New Roman" w:cs="Times New Roman"/>
          <w:sz w:val="23"/>
          <w:szCs w:val="23"/>
        </w:rPr>
        <w:t xml:space="preserve"> </w:t>
      </w:r>
      <w:r>
        <w:rPr>
          <w:noProof/>
          <w:lang w:eastAsia="lt-LT"/>
        </w:rPr>
        <w:drawing>
          <wp:inline distT="0" distB="0" distL="0" distR="0" wp14:anchorId="40B650A5" wp14:editId="246D7A9B">
            <wp:extent cx="4572000" cy="27432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753B" w:rsidRDefault="001E753B" w:rsidP="00526461">
      <w:pPr>
        <w:jc w:val="center"/>
        <w:rPr>
          <w:rFonts w:ascii="Times New Roman" w:hAnsi="Times New Roman" w:cs="Times New Roman"/>
          <w:b/>
          <w:bCs/>
          <w:sz w:val="24"/>
          <w:szCs w:val="24"/>
        </w:rPr>
      </w:pPr>
      <w:r w:rsidRPr="001E753B">
        <w:rPr>
          <w:rFonts w:ascii="Times New Roman" w:hAnsi="Times New Roman" w:cs="Times New Roman"/>
          <w:b/>
          <w:bCs/>
          <w:sz w:val="24"/>
          <w:szCs w:val="24"/>
        </w:rPr>
        <w:t>4 pav. Profilaktiškai pasitikrinusių pirmų klasių mokinių sergamumas, proc.</w:t>
      </w:r>
      <w:r>
        <w:rPr>
          <w:rFonts w:ascii="Times New Roman" w:hAnsi="Times New Roman" w:cs="Times New Roman"/>
          <w:b/>
          <w:bCs/>
          <w:sz w:val="24"/>
          <w:szCs w:val="24"/>
        </w:rPr>
        <w:t>, 2014 m.</w:t>
      </w:r>
    </w:p>
    <w:p w:rsidR="00E20217" w:rsidRDefault="00E20217">
      <w:pPr>
        <w:rPr>
          <w:rFonts w:ascii="Times New Roman" w:hAnsi="Times New Roman" w:cs="Times New Roman"/>
          <w:b/>
          <w:bCs/>
          <w:sz w:val="24"/>
          <w:szCs w:val="24"/>
        </w:rPr>
      </w:pPr>
    </w:p>
    <w:p w:rsidR="00E20217" w:rsidRDefault="00E20217">
      <w:pPr>
        <w:rPr>
          <w:rFonts w:ascii="Times New Roman" w:hAnsi="Times New Roman" w:cs="Times New Roman"/>
          <w:b/>
          <w:bCs/>
          <w:sz w:val="24"/>
          <w:szCs w:val="24"/>
        </w:rPr>
      </w:pPr>
    </w:p>
    <w:p w:rsidR="00E20217" w:rsidRPr="002929FE" w:rsidRDefault="00E20217" w:rsidP="00E20217">
      <w:pPr>
        <w:pStyle w:val="Antrat1"/>
        <w:rPr>
          <w:rFonts w:ascii="Times New Roman" w:hAnsi="Times New Roman" w:cs="Times New Roman"/>
          <w:i/>
          <w:color w:val="auto"/>
          <w:sz w:val="24"/>
          <w:szCs w:val="24"/>
        </w:rPr>
      </w:pPr>
      <w:r w:rsidRPr="002929FE">
        <w:rPr>
          <w:rFonts w:ascii="Times New Roman" w:hAnsi="Times New Roman" w:cs="Times New Roman"/>
          <w:i/>
          <w:color w:val="auto"/>
          <w:sz w:val="24"/>
          <w:szCs w:val="24"/>
        </w:rPr>
        <w:t>Regos sistemos sutrikimai</w:t>
      </w:r>
    </w:p>
    <w:p w:rsidR="00E20217" w:rsidRDefault="00E20217" w:rsidP="00E20217"/>
    <w:p w:rsidR="00E20217" w:rsidRPr="00E20217" w:rsidRDefault="00E20217" w:rsidP="00526461">
      <w:pPr>
        <w:ind w:firstLine="1134"/>
        <w:rPr>
          <w:rFonts w:ascii="Times New Roman" w:hAnsi="Times New Roman" w:cs="Times New Roman"/>
          <w:sz w:val="24"/>
          <w:szCs w:val="24"/>
        </w:rPr>
      </w:pPr>
      <w:r w:rsidRPr="00E20217">
        <w:rPr>
          <w:rFonts w:ascii="Times New Roman" w:hAnsi="Times New Roman" w:cs="Times New Roman"/>
          <w:bCs/>
          <w:color w:val="333333"/>
          <w:sz w:val="24"/>
          <w:szCs w:val="24"/>
          <w:bdr w:val="none" w:sz="0" w:space="0" w:color="auto" w:frame="1"/>
          <w:shd w:val="clear" w:color="auto" w:fill="FFFFFF"/>
        </w:rPr>
        <w:t>Tobulėjant šiuolaikinėms technologijoms, nuo regėjimo sutrikimų kenčia vis daugiau žmonių. Regos sutrikimai jau kelerius metus iš eilės yra viena dažniausių vaikų sveikatos problemų.</w:t>
      </w:r>
    </w:p>
    <w:p w:rsidR="00E20217" w:rsidRDefault="00E20217" w:rsidP="00E20217">
      <w:pPr>
        <w:rPr>
          <w:rFonts w:ascii="Times New Roman" w:hAnsi="Times New Roman" w:cs="Times New Roman"/>
          <w:sz w:val="24"/>
          <w:szCs w:val="24"/>
        </w:rPr>
      </w:pPr>
      <w:r w:rsidRPr="00E20217">
        <w:rPr>
          <w:rFonts w:ascii="Times New Roman" w:hAnsi="Times New Roman" w:cs="Times New Roman"/>
          <w:sz w:val="24"/>
          <w:szCs w:val="24"/>
        </w:rPr>
        <w:t>Regos sistemos sutrikimus nulemia per</w:t>
      </w:r>
      <w:r w:rsidR="00E66FCF">
        <w:rPr>
          <w:rFonts w:ascii="Times New Roman" w:hAnsi="Times New Roman" w:cs="Times New Roman"/>
          <w:sz w:val="24"/>
          <w:szCs w:val="24"/>
        </w:rPr>
        <w:t xml:space="preserve"> </w:t>
      </w:r>
      <w:r w:rsidRPr="00E20217">
        <w:rPr>
          <w:rFonts w:ascii="Times New Roman" w:hAnsi="Times New Roman" w:cs="Times New Roman"/>
          <w:sz w:val="24"/>
          <w:szCs w:val="24"/>
        </w:rPr>
        <w:t>didelis krūvis, tenkantis akims: ilgas darbas kompiuteriu, ilgas televizoriaus žiūrėjimas, sėdėjimas nepritaikytose vietose, pagal mokinių regos aštrumą, netinkamas apšvietimas ir kt.</w:t>
      </w:r>
    </w:p>
    <w:p w:rsidR="00E66FCF" w:rsidRDefault="00E66FCF" w:rsidP="00526461">
      <w:pPr>
        <w:ind w:firstLine="1134"/>
        <w:rPr>
          <w:rFonts w:ascii="Times New Roman" w:hAnsi="Times New Roman" w:cs="Times New Roman"/>
          <w:sz w:val="24"/>
          <w:szCs w:val="24"/>
        </w:rPr>
      </w:pPr>
      <w:r w:rsidRPr="00E66FCF">
        <w:rPr>
          <w:rFonts w:ascii="Times New Roman" w:hAnsi="Times New Roman" w:cs="Times New Roman"/>
          <w:sz w:val="24"/>
          <w:szCs w:val="24"/>
        </w:rPr>
        <w:t>Kauno miesto mokyklose mokinių regos sistemos</w:t>
      </w:r>
      <w:r w:rsidR="00683DB3">
        <w:rPr>
          <w:rFonts w:ascii="Times New Roman" w:hAnsi="Times New Roman" w:cs="Times New Roman"/>
          <w:sz w:val="24"/>
          <w:szCs w:val="24"/>
        </w:rPr>
        <w:t xml:space="preserve"> sutrikimai užima pirmąją vietą, šių sutrikimų skaičius kasmet tendencingai didėja (5 pav.)</w:t>
      </w:r>
    </w:p>
    <w:p w:rsidR="00683DB3" w:rsidRDefault="00683DB3" w:rsidP="00E20217">
      <w:pPr>
        <w:rPr>
          <w:rFonts w:ascii="Times New Roman" w:hAnsi="Times New Roman" w:cs="Times New Roman"/>
          <w:sz w:val="24"/>
          <w:szCs w:val="24"/>
        </w:rPr>
      </w:pPr>
      <w:r>
        <w:rPr>
          <w:noProof/>
          <w:lang w:eastAsia="lt-LT"/>
        </w:rPr>
        <w:lastRenderedPageBreak/>
        <w:drawing>
          <wp:inline distT="0" distB="0" distL="0" distR="0" wp14:anchorId="1AF2E6AC" wp14:editId="45EDEB4C">
            <wp:extent cx="5114925" cy="27432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3DB3" w:rsidRPr="00A10ACF" w:rsidRDefault="00A10ACF" w:rsidP="00526461">
      <w:pPr>
        <w:spacing w:line="240" w:lineRule="auto"/>
        <w:jc w:val="center"/>
        <w:rPr>
          <w:rFonts w:ascii="Times New Roman" w:hAnsi="Times New Roman" w:cs="Times New Roman"/>
          <w:b/>
          <w:sz w:val="24"/>
          <w:szCs w:val="24"/>
        </w:rPr>
      </w:pPr>
      <w:r w:rsidRPr="00A10ACF">
        <w:rPr>
          <w:rFonts w:ascii="Times New Roman" w:hAnsi="Times New Roman" w:cs="Times New Roman"/>
          <w:b/>
          <w:sz w:val="24"/>
          <w:szCs w:val="24"/>
        </w:rPr>
        <w:t>5 pav. Regos sistemos sutrikimų turinčių Kauno miesto moksleivių proc., 2010-2014 m.</w:t>
      </w:r>
    </w:p>
    <w:p w:rsidR="00683DB3" w:rsidRDefault="00683DB3" w:rsidP="00E20217">
      <w:pPr>
        <w:rPr>
          <w:rFonts w:ascii="Times New Roman" w:hAnsi="Times New Roman" w:cs="Times New Roman"/>
          <w:sz w:val="24"/>
          <w:szCs w:val="24"/>
        </w:rPr>
      </w:pPr>
    </w:p>
    <w:p w:rsidR="006C5300" w:rsidRDefault="00A10ACF" w:rsidP="00526461">
      <w:pPr>
        <w:ind w:firstLine="1134"/>
        <w:rPr>
          <w:rFonts w:ascii="Times New Roman" w:hAnsi="Times New Roman" w:cs="Times New Roman"/>
          <w:sz w:val="24"/>
          <w:szCs w:val="24"/>
        </w:rPr>
      </w:pPr>
      <w:r>
        <w:rPr>
          <w:rFonts w:ascii="Times New Roman" w:hAnsi="Times New Roman" w:cs="Times New Roman"/>
          <w:sz w:val="24"/>
          <w:szCs w:val="24"/>
        </w:rPr>
        <w:t>Pastebima, kad regos sutrikimų turinčių moksleivių skaičius skirtingose klasėse svyruoja, daugiausia regos sutrikimų turinčių mokinių mokosi VI-VIII klasėse, mažiausiai – vyriausiose (XII) klasėse (6 pav.).</w:t>
      </w:r>
    </w:p>
    <w:p w:rsidR="006C5300" w:rsidRDefault="006C5300" w:rsidP="00526461">
      <w:pPr>
        <w:spacing w:line="240" w:lineRule="auto"/>
        <w:rPr>
          <w:rFonts w:ascii="Times New Roman" w:hAnsi="Times New Roman" w:cs="Times New Roman"/>
          <w:sz w:val="24"/>
          <w:szCs w:val="24"/>
        </w:rPr>
      </w:pPr>
      <w:r>
        <w:rPr>
          <w:noProof/>
          <w:lang w:eastAsia="lt-LT"/>
        </w:rPr>
        <w:drawing>
          <wp:inline distT="0" distB="0" distL="0" distR="0" wp14:anchorId="60310B3F" wp14:editId="54894C33">
            <wp:extent cx="4572000" cy="3419475"/>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5300" w:rsidRDefault="00A10ACF" w:rsidP="00526461">
      <w:pPr>
        <w:spacing w:line="240" w:lineRule="auto"/>
        <w:jc w:val="center"/>
        <w:rPr>
          <w:rFonts w:ascii="Times New Roman" w:hAnsi="Times New Roman" w:cs="Times New Roman"/>
          <w:b/>
          <w:bCs/>
          <w:sz w:val="23"/>
          <w:szCs w:val="23"/>
        </w:rPr>
      </w:pPr>
      <w:r>
        <w:rPr>
          <w:rFonts w:ascii="Times New Roman" w:hAnsi="Times New Roman" w:cs="Times New Roman"/>
          <w:b/>
          <w:bCs/>
          <w:sz w:val="23"/>
          <w:szCs w:val="23"/>
        </w:rPr>
        <w:t>6</w:t>
      </w:r>
      <w:r w:rsidR="006C5300" w:rsidRPr="006C5300">
        <w:rPr>
          <w:rFonts w:ascii="Times New Roman" w:hAnsi="Times New Roman" w:cs="Times New Roman"/>
          <w:b/>
          <w:bCs/>
          <w:sz w:val="23"/>
          <w:szCs w:val="23"/>
        </w:rPr>
        <w:t xml:space="preserve"> pav. Užregistruoti regos sistemos sutrikimai pagal klases (amžių), proc., 2014 m.</w:t>
      </w:r>
    </w:p>
    <w:p w:rsidR="002929FE" w:rsidRDefault="002929FE" w:rsidP="00526461">
      <w:pPr>
        <w:spacing w:line="240" w:lineRule="auto"/>
        <w:rPr>
          <w:rFonts w:ascii="Times New Roman" w:hAnsi="Times New Roman" w:cs="Times New Roman"/>
          <w:b/>
          <w:bCs/>
          <w:sz w:val="23"/>
          <w:szCs w:val="23"/>
        </w:rPr>
      </w:pPr>
    </w:p>
    <w:p w:rsidR="002929FE" w:rsidRDefault="002929FE" w:rsidP="00E20217">
      <w:pPr>
        <w:rPr>
          <w:b/>
          <w:bCs/>
          <w:i/>
          <w:iCs/>
          <w:sz w:val="23"/>
          <w:szCs w:val="23"/>
        </w:rPr>
      </w:pPr>
    </w:p>
    <w:p w:rsidR="002929FE" w:rsidRDefault="002929FE" w:rsidP="00E20217">
      <w:pPr>
        <w:rPr>
          <w:b/>
          <w:bCs/>
          <w:i/>
          <w:iCs/>
          <w:sz w:val="23"/>
          <w:szCs w:val="23"/>
        </w:rPr>
      </w:pPr>
    </w:p>
    <w:p w:rsidR="002929FE" w:rsidRDefault="002929FE" w:rsidP="00E20217">
      <w:pPr>
        <w:rPr>
          <w:b/>
          <w:bCs/>
          <w:i/>
          <w:iCs/>
          <w:sz w:val="23"/>
          <w:szCs w:val="23"/>
        </w:rPr>
      </w:pPr>
    </w:p>
    <w:p w:rsidR="00526461" w:rsidRDefault="00526461" w:rsidP="00E20217">
      <w:pPr>
        <w:rPr>
          <w:b/>
          <w:bCs/>
          <w:i/>
          <w:iCs/>
          <w:sz w:val="23"/>
          <w:szCs w:val="23"/>
        </w:rPr>
      </w:pPr>
    </w:p>
    <w:p w:rsidR="002929FE" w:rsidRPr="002929FE" w:rsidRDefault="002929FE" w:rsidP="002929FE">
      <w:pPr>
        <w:rPr>
          <w:rFonts w:ascii="Times New Roman" w:hAnsi="Times New Roman" w:cs="Times New Roman"/>
          <w:b/>
          <w:bCs/>
          <w:i/>
          <w:iCs/>
          <w:sz w:val="24"/>
          <w:szCs w:val="24"/>
        </w:rPr>
      </w:pPr>
      <w:r w:rsidRPr="002929FE">
        <w:rPr>
          <w:rFonts w:ascii="Times New Roman" w:hAnsi="Times New Roman" w:cs="Times New Roman"/>
          <w:b/>
          <w:bCs/>
          <w:i/>
          <w:iCs/>
          <w:sz w:val="24"/>
          <w:szCs w:val="24"/>
        </w:rPr>
        <w:lastRenderedPageBreak/>
        <w:t>Skeleto - raumenų sistemos sutrikimai</w:t>
      </w:r>
    </w:p>
    <w:p w:rsidR="002929FE" w:rsidRPr="002929FE" w:rsidRDefault="002929FE" w:rsidP="002929FE">
      <w:pPr>
        <w:rPr>
          <w:rFonts w:ascii="Times New Roman" w:hAnsi="Times New Roman" w:cs="Times New Roman"/>
          <w:b/>
          <w:bCs/>
          <w:i/>
          <w:iCs/>
          <w:sz w:val="24"/>
          <w:szCs w:val="24"/>
        </w:rPr>
      </w:pPr>
    </w:p>
    <w:p w:rsidR="002929FE" w:rsidRPr="002929FE" w:rsidRDefault="002929FE" w:rsidP="00526461">
      <w:pPr>
        <w:pStyle w:val="Default"/>
        <w:spacing w:line="360" w:lineRule="auto"/>
        <w:ind w:firstLine="1134"/>
        <w:jc w:val="both"/>
      </w:pPr>
      <w:r w:rsidRPr="002929FE">
        <w:t xml:space="preserve">Skeleto-raumenų sistemos sutrikimus lemia spartus vaikų augimas tam tikrais periodais, ypač brendimo metu, netaisyklinga laikysena, mažas fizinis aktyvumas, nepritaikyti suolai mokinio ūgiui, sunkios bei didelės kuprinės, netaisyklingas kuprinių nešiojimas ir kt. </w:t>
      </w:r>
    </w:p>
    <w:p w:rsidR="00911E54" w:rsidRDefault="002929FE" w:rsidP="00526461">
      <w:pPr>
        <w:ind w:firstLine="1134"/>
        <w:rPr>
          <w:rFonts w:ascii="Times New Roman" w:hAnsi="Times New Roman" w:cs="Times New Roman"/>
          <w:sz w:val="24"/>
          <w:szCs w:val="24"/>
        </w:rPr>
      </w:pPr>
      <w:r w:rsidRPr="002929FE">
        <w:rPr>
          <w:rFonts w:ascii="Times New Roman" w:hAnsi="Times New Roman" w:cs="Times New Roman"/>
          <w:sz w:val="24"/>
          <w:szCs w:val="24"/>
        </w:rPr>
        <w:t>Pagal dažnumą skeleto-raumenų sistemos sutrikimai</w:t>
      </w:r>
      <w:r w:rsidR="00911E54">
        <w:rPr>
          <w:rFonts w:ascii="Times New Roman" w:hAnsi="Times New Roman" w:cs="Times New Roman"/>
          <w:sz w:val="24"/>
          <w:szCs w:val="24"/>
        </w:rPr>
        <w:t xml:space="preserve"> tarp Kauno miesto moksleivių</w:t>
      </w:r>
      <w:r w:rsidRPr="002929FE">
        <w:rPr>
          <w:rFonts w:ascii="Times New Roman" w:hAnsi="Times New Roman" w:cs="Times New Roman"/>
          <w:sz w:val="24"/>
          <w:szCs w:val="24"/>
        </w:rPr>
        <w:t xml:space="preserve"> užima antrąją vietą.</w:t>
      </w:r>
      <w:r w:rsidR="00911E54">
        <w:rPr>
          <w:rFonts w:ascii="Times New Roman" w:hAnsi="Times New Roman" w:cs="Times New Roman"/>
          <w:sz w:val="24"/>
          <w:szCs w:val="24"/>
        </w:rPr>
        <w:t xml:space="preserve"> Visose Kauno miesto mokyklinio ugdymo įstaigose užregistruota mokinių, turinčių skeleto-raumenų sistemos sutrikimų. Atlikta analizė parodė, kad skeleto-raumenų sistemos sutrikimų turinčių mokinių skaičius 2014 metais nežymiai sumažėjo (7 pav.)</w:t>
      </w:r>
      <w:r w:rsidR="00E84B55">
        <w:rPr>
          <w:rFonts w:ascii="Times New Roman" w:hAnsi="Times New Roman" w:cs="Times New Roman"/>
          <w:sz w:val="24"/>
          <w:szCs w:val="24"/>
        </w:rPr>
        <w:t>.</w:t>
      </w:r>
    </w:p>
    <w:p w:rsidR="00911E54" w:rsidRDefault="00911E54" w:rsidP="002929FE">
      <w:pPr>
        <w:rPr>
          <w:sz w:val="23"/>
          <w:szCs w:val="23"/>
        </w:rPr>
      </w:pPr>
    </w:p>
    <w:p w:rsidR="00911E54" w:rsidRDefault="00911E54" w:rsidP="00526461">
      <w:pPr>
        <w:spacing w:line="240" w:lineRule="auto"/>
        <w:rPr>
          <w:rFonts w:ascii="Times New Roman" w:hAnsi="Times New Roman" w:cs="Times New Roman"/>
          <w:sz w:val="24"/>
          <w:szCs w:val="24"/>
        </w:rPr>
      </w:pPr>
      <w:r>
        <w:rPr>
          <w:noProof/>
          <w:lang w:eastAsia="lt-LT"/>
        </w:rPr>
        <w:drawing>
          <wp:inline distT="0" distB="0" distL="0" distR="0" wp14:anchorId="24393186" wp14:editId="120CB42A">
            <wp:extent cx="5600700" cy="2809875"/>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4B55" w:rsidRPr="00E84B55" w:rsidRDefault="0039505D" w:rsidP="005264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E84B55" w:rsidRPr="00A10ACF">
        <w:rPr>
          <w:rFonts w:ascii="Times New Roman" w:hAnsi="Times New Roman" w:cs="Times New Roman"/>
          <w:b/>
          <w:sz w:val="24"/>
          <w:szCs w:val="24"/>
        </w:rPr>
        <w:t xml:space="preserve"> pav. </w:t>
      </w:r>
      <w:r w:rsidR="00E84B55">
        <w:rPr>
          <w:rFonts w:ascii="Times New Roman" w:hAnsi="Times New Roman" w:cs="Times New Roman"/>
          <w:b/>
          <w:sz w:val="24"/>
          <w:szCs w:val="24"/>
        </w:rPr>
        <w:t>Skeleto-raumenų</w:t>
      </w:r>
      <w:r w:rsidR="00E84B55" w:rsidRPr="00A10ACF">
        <w:rPr>
          <w:rFonts w:ascii="Times New Roman" w:hAnsi="Times New Roman" w:cs="Times New Roman"/>
          <w:b/>
          <w:sz w:val="24"/>
          <w:szCs w:val="24"/>
        </w:rPr>
        <w:t xml:space="preserve"> sistemos sutrikimų turinčių Kauno miesto moksleivių proc., 2010-2014 m.</w:t>
      </w:r>
    </w:p>
    <w:p w:rsidR="00E84B55" w:rsidRDefault="00E84B55" w:rsidP="002929FE">
      <w:pPr>
        <w:rPr>
          <w:rFonts w:ascii="Times New Roman" w:hAnsi="Times New Roman" w:cs="Times New Roman"/>
          <w:sz w:val="24"/>
          <w:szCs w:val="24"/>
        </w:rPr>
      </w:pPr>
    </w:p>
    <w:p w:rsidR="00E84B55" w:rsidRDefault="00E84B55" w:rsidP="00526461">
      <w:pPr>
        <w:ind w:firstLine="1134"/>
        <w:rPr>
          <w:rFonts w:ascii="Times New Roman" w:hAnsi="Times New Roman" w:cs="Times New Roman"/>
          <w:sz w:val="24"/>
          <w:szCs w:val="24"/>
        </w:rPr>
      </w:pPr>
      <w:r w:rsidRPr="0039505D">
        <w:rPr>
          <w:rFonts w:ascii="Times New Roman" w:hAnsi="Times New Roman" w:cs="Times New Roman"/>
          <w:sz w:val="24"/>
          <w:szCs w:val="24"/>
        </w:rPr>
        <w:t>Vertinant skeleto-raumenų sistemos sutrikimus pagal klases (amžių), nustatyta</w:t>
      </w:r>
      <w:r w:rsidR="0039505D">
        <w:rPr>
          <w:rFonts w:ascii="Times New Roman" w:hAnsi="Times New Roman" w:cs="Times New Roman"/>
          <w:sz w:val="24"/>
          <w:szCs w:val="24"/>
        </w:rPr>
        <w:t>s tendencingas šių sutrikimų skaičiaus didėjimas kartu su mokinio amžiumi,</w:t>
      </w:r>
      <w:r w:rsidR="00005475">
        <w:rPr>
          <w:rFonts w:ascii="Times New Roman" w:hAnsi="Times New Roman" w:cs="Times New Roman"/>
          <w:sz w:val="24"/>
          <w:szCs w:val="24"/>
        </w:rPr>
        <w:t xml:space="preserve"> pradinėse klasėse (I-IV) skeleto-raumenų sutrikimai nustatyti vidutiniškai kas trečiam moksleiviui (33 proc.),</w:t>
      </w:r>
      <w:r w:rsidR="0039505D">
        <w:rPr>
          <w:rFonts w:ascii="Times New Roman" w:hAnsi="Times New Roman" w:cs="Times New Roman"/>
          <w:sz w:val="24"/>
          <w:szCs w:val="24"/>
        </w:rPr>
        <w:t xml:space="preserve"> </w:t>
      </w:r>
      <w:r w:rsidRPr="0039505D">
        <w:rPr>
          <w:rFonts w:ascii="Times New Roman" w:hAnsi="Times New Roman" w:cs="Times New Roman"/>
          <w:sz w:val="24"/>
          <w:szCs w:val="24"/>
        </w:rPr>
        <w:t xml:space="preserve">daugiausia </w:t>
      </w:r>
      <w:r w:rsidR="0039505D">
        <w:rPr>
          <w:rFonts w:ascii="Times New Roman" w:hAnsi="Times New Roman" w:cs="Times New Roman"/>
          <w:sz w:val="24"/>
          <w:szCs w:val="24"/>
        </w:rPr>
        <w:t>šių</w:t>
      </w:r>
      <w:r w:rsidRPr="0039505D">
        <w:rPr>
          <w:rFonts w:ascii="Times New Roman" w:hAnsi="Times New Roman" w:cs="Times New Roman"/>
          <w:sz w:val="24"/>
          <w:szCs w:val="24"/>
        </w:rPr>
        <w:t xml:space="preserve"> sutrikimų užregistruota tarp </w:t>
      </w:r>
      <w:r w:rsidR="0039505D" w:rsidRPr="0039505D">
        <w:rPr>
          <w:rFonts w:ascii="Times New Roman" w:hAnsi="Times New Roman" w:cs="Times New Roman"/>
          <w:sz w:val="24"/>
          <w:szCs w:val="24"/>
        </w:rPr>
        <w:t>VI</w:t>
      </w:r>
      <w:r w:rsidRPr="0039505D">
        <w:rPr>
          <w:rFonts w:ascii="Times New Roman" w:hAnsi="Times New Roman" w:cs="Times New Roman"/>
          <w:sz w:val="24"/>
          <w:szCs w:val="24"/>
        </w:rPr>
        <w:t>-</w:t>
      </w:r>
      <w:r w:rsidR="0039505D" w:rsidRPr="0039505D">
        <w:rPr>
          <w:rFonts w:ascii="Times New Roman" w:hAnsi="Times New Roman" w:cs="Times New Roman"/>
          <w:sz w:val="24"/>
          <w:szCs w:val="24"/>
        </w:rPr>
        <w:t>VIII</w:t>
      </w:r>
      <w:r w:rsidRPr="0039505D">
        <w:rPr>
          <w:rFonts w:ascii="Times New Roman" w:hAnsi="Times New Roman" w:cs="Times New Roman"/>
          <w:sz w:val="24"/>
          <w:szCs w:val="24"/>
        </w:rPr>
        <w:t xml:space="preserve"> klasių mokinių</w:t>
      </w:r>
      <w:r w:rsidR="0039505D">
        <w:rPr>
          <w:rFonts w:ascii="Times New Roman" w:hAnsi="Times New Roman" w:cs="Times New Roman"/>
          <w:sz w:val="24"/>
          <w:szCs w:val="24"/>
        </w:rPr>
        <w:t xml:space="preserve"> (vidutiniškai 45 proc. šių klasių</w:t>
      </w:r>
      <w:r w:rsidR="005C1110">
        <w:rPr>
          <w:rFonts w:ascii="Times New Roman" w:hAnsi="Times New Roman" w:cs="Times New Roman"/>
          <w:sz w:val="24"/>
          <w:szCs w:val="24"/>
        </w:rPr>
        <w:t xml:space="preserve"> mokinių), vyresnėse klasėse pastebimas sutrikimų skaičiaus mažėjimas</w:t>
      </w:r>
      <w:r w:rsidR="00005475">
        <w:rPr>
          <w:rFonts w:ascii="Times New Roman" w:hAnsi="Times New Roman" w:cs="Times New Roman"/>
          <w:sz w:val="24"/>
          <w:szCs w:val="24"/>
        </w:rPr>
        <w:t xml:space="preserve"> (30, 2 proc. mokinių</w:t>
      </w:r>
      <w:r w:rsidR="005C1110">
        <w:rPr>
          <w:rFonts w:ascii="Times New Roman" w:hAnsi="Times New Roman" w:cs="Times New Roman"/>
          <w:sz w:val="24"/>
          <w:szCs w:val="24"/>
        </w:rPr>
        <w:t xml:space="preserve"> </w:t>
      </w:r>
      <w:r w:rsidR="00005475">
        <w:rPr>
          <w:rFonts w:ascii="Times New Roman" w:hAnsi="Times New Roman" w:cs="Times New Roman"/>
          <w:sz w:val="24"/>
          <w:szCs w:val="24"/>
        </w:rPr>
        <w:t>(</w:t>
      </w:r>
      <w:r w:rsidR="005C1110">
        <w:rPr>
          <w:rFonts w:ascii="Times New Roman" w:hAnsi="Times New Roman" w:cs="Times New Roman"/>
          <w:sz w:val="24"/>
          <w:szCs w:val="24"/>
        </w:rPr>
        <w:t>8</w:t>
      </w:r>
      <w:r w:rsidRPr="0039505D">
        <w:rPr>
          <w:rFonts w:ascii="Times New Roman" w:hAnsi="Times New Roman" w:cs="Times New Roman"/>
          <w:sz w:val="24"/>
          <w:szCs w:val="24"/>
        </w:rPr>
        <w:t xml:space="preserve"> pav.)</w:t>
      </w:r>
      <w:r w:rsidR="00005475">
        <w:rPr>
          <w:rFonts w:ascii="Times New Roman" w:hAnsi="Times New Roman" w:cs="Times New Roman"/>
          <w:sz w:val="24"/>
          <w:szCs w:val="24"/>
        </w:rPr>
        <w:t>)</w:t>
      </w:r>
      <w:r w:rsidRPr="0039505D">
        <w:rPr>
          <w:rFonts w:ascii="Times New Roman" w:hAnsi="Times New Roman" w:cs="Times New Roman"/>
          <w:sz w:val="24"/>
          <w:szCs w:val="24"/>
        </w:rPr>
        <w:t>.</w:t>
      </w:r>
    </w:p>
    <w:p w:rsidR="00005475" w:rsidRPr="0039505D" w:rsidRDefault="00005475" w:rsidP="00E84B55">
      <w:pPr>
        <w:rPr>
          <w:rFonts w:ascii="Times New Roman" w:hAnsi="Times New Roman" w:cs="Times New Roman"/>
          <w:sz w:val="24"/>
          <w:szCs w:val="24"/>
        </w:rPr>
      </w:pPr>
    </w:p>
    <w:p w:rsidR="0080249B" w:rsidRDefault="0006421A" w:rsidP="00526461">
      <w:pPr>
        <w:spacing w:line="240" w:lineRule="auto"/>
        <w:rPr>
          <w:rFonts w:ascii="Times New Roman" w:hAnsi="Times New Roman" w:cs="Times New Roman"/>
          <w:sz w:val="24"/>
          <w:szCs w:val="24"/>
        </w:rPr>
      </w:pPr>
      <w:r>
        <w:rPr>
          <w:noProof/>
          <w:lang w:eastAsia="lt-LT"/>
        </w:rPr>
        <w:lastRenderedPageBreak/>
        <w:drawing>
          <wp:inline distT="0" distB="0" distL="0" distR="0" wp14:anchorId="342F2895" wp14:editId="4E0E011B">
            <wp:extent cx="4438650" cy="3000375"/>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505D" w:rsidRDefault="0039505D" w:rsidP="00526461">
      <w:pPr>
        <w:spacing w:line="240" w:lineRule="auto"/>
        <w:jc w:val="center"/>
        <w:rPr>
          <w:rFonts w:ascii="Times New Roman" w:hAnsi="Times New Roman" w:cs="Times New Roman"/>
          <w:b/>
          <w:bCs/>
          <w:sz w:val="23"/>
          <w:szCs w:val="23"/>
        </w:rPr>
      </w:pPr>
      <w:r>
        <w:rPr>
          <w:rFonts w:ascii="Times New Roman" w:hAnsi="Times New Roman" w:cs="Times New Roman"/>
          <w:b/>
          <w:bCs/>
          <w:sz w:val="23"/>
          <w:szCs w:val="23"/>
        </w:rPr>
        <w:t>8</w:t>
      </w:r>
      <w:r w:rsidRPr="006C5300">
        <w:rPr>
          <w:rFonts w:ascii="Times New Roman" w:hAnsi="Times New Roman" w:cs="Times New Roman"/>
          <w:b/>
          <w:bCs/>
          <w:sz w:val="23"/>
          <w:szCs w:val="23"/>
        </w:rPr>
        <w:t xml:space="preserve"> pav. Užregistruoti regos sistemos sutrikimai pagal klases (amžių), proc., 2014 m.</w:t>
      </w:r>
    </w:p>
    <w:p w:rsidR="0039505D" w:rsidRPr="00005475" w:rsidRDefault="0039505D" w:rsidP="002929FE">
      <w:pPr>
        <w:rPr>
          <w:rFonts w:ascii="Times New Roman" w:hAnsi="Times New Roman" w:cs="Times New Roman"/>
          <w:b/>
          <w:i/>
          <w:sz w:val="24"/>
          <w:szCs w:val="24"/>
        </w:rPr>
      </w:pPr>
    </w:p>
    <w:p w:rsidR="00526461" w:rsidRDefault="00526461" w:rsidP="002929FE">
      <w:pPr>
        <w:rPr>
          <w:rFonts w:ascii="Times New Roman" w:hAnsi="Times New Roman" w:cs="Times New Roman"/>
          <w:b/>
          <w:i/>
          <w:sz w:val="24"/>
          <w:szCs w:val="24"/>
        </w:rPr>
      </w:pPr>
    </w:p>
    <w:p w:rsidR="00005475" w:rsidRDefault="00005475" w:rsidP="002929FE">
      <w:pPr>
        <w:rPr>
          <w:rFonts w:ascii="Times New Roman" w:hAnsi="Times New Roman" w:cs="Times New Roman"/>
          <w:b/>
          <w:i/>
          <w:sz w:val="24"/>
          <w:szCs w:val="24"/>
        </w:rPr>
      </w:pPr>
      <w:r w:rsidRPr="00005475">
        <w:rPr>
          <w:rFonts w:ascii="Times New Roman" w:hAnsi="Times New Roman" w:cs="Times New Roman"/>
          <w:b/>
          <w:i/>
          <w:sz w:val="24"/>
          <w:szCs w:val="24"/>
        </w:rPr>
        <w:t>Kvėpavimo sistemos sutrikimai</w:t>
      </w:r>
    </w:p>
    <w:p w:rsidR="00005475" w:rsidRDefault="00005475" w:rsidP="002929FE">
      <w:pPr>
        <w:rPr>
          <w:rFonts w:ascii="Times New Roman" w:hAnsi="Times New Roman" w:cs="Times New Roman"/>
          <w:b/>
          <w:i/>
          <w:sz w:val="24"/>
          <w:szCs w:val="24"/>
        </w:rPr>
      </w:pPr>
    </w:p>
    <w:p w:rsidR="00005475" w:rsidRDefault="009A0F59" w:rsidP="00526461">
      <w:pPr>
        <w:ind w:firstLine="1134"/>
        <w:rPr>
          <w:rFonts w:ascii="Times New Roman" w:hAnsi="Times New Roman" w:cs="Times New Roman"/>
          <w:sz w:val="24"/>
          <w:szCs w:val="24"/>
        </w:rPr>
      </w:pPr>
      <w:r w:rsidRPr="007C1DDF">
        <w:rPr>
          <w:rFonts w:ascii="Times New Roman" w:hAnsi="Times New Roman" w:cs="Times New Roman"/>
          <w:sz w:val="24"/>
          <w:szCs w:val="24"/>
        </w:rPr>
        <w:t>Kvėpavimo sistemos sutrikimams įtakos turi įgimtos kvėpavimo sistemos patologijos, ūminių susirgimų komplikacijos bei kt. priežastys.</w:t>
      </w:r>
      <w:r w:rsidR="007C1DDF">
        <w:rPr>
          <w:rFonts w:ascii="Times New Roman" w:hAnsi="Times New Roman" w:cs="Times New Roman"/>
          <w:sz w:val="24"/>
          <w:szCs w:val="24"/>
        </w:rPr>
        <w:t xml:space="preserve"> Kvėpavimo sistemos sutrikimai užima svarbią vietą moksleivių sergamumo struktūroje. </w:t>
      </w:r>
    </w:p>
    <w:p w:rsidR="007C1DDF" w:rsidRDefault="007C1DDF" w:rsidP="00526461">
      <w:pPr>
        <w:ind w:firstLine="1134"/>
        <w:rPr>
          <w:rFonts w:ascii="Times New Roman" w:hAnsi="Times New Roman" w:cs="Times New Roman"/>
          <w:sz w:val="24"/>
          <w:szCs w:val="24"/>
        </w:rPr>
      </w:pPr>
      <w:r>
        <w:rPr>
          <w:rFonts w:ascii="Times New Roman" w:hAnsi="Times New Roman" w:cs="Times New Roman"/>
          <w:sz w:val="24"/>
          <w:szCs w:val="24"/>
        </w:rPr>
        <w:t xml:space="preserve">Sergamumas kvėpavimo sistemos ligomis tarp Kauno miesto moksleivių tendencingai didėjo ir nuo 2010 metų išaugo beveik 4 procentais (9 pav.). </w:t>
      </w:r>
    </w:p>
    <w:p w:rsidR="007C1DDF" w:rsidRDefault="007C1DDF" w:rsidP="00C7600A">
      <w:pPr>
        <w:spacing w:line="240" w:lineRule="auto"/>
        <w:rPr>
          <w:rFonts w:ascii="Times New Roman" w:hAnsi="Times New Roman" w:cs="Times New Roman"/>
          <w:sz w:val="24"/>
          <w:szCs w:val="24"/>
        </w:rPr>
      </w:pPr>
      <w:r>
        <w:rPr>
          <w:noProof/>
          <w:lang w:eastAsia="lt-LT"/>
        </w:rPr>
        <w:drawing>
          <wp:inline distT="0" distB="0" distL="0" distR="0" wp14:anchorId="1FA42FD8" wp14:editId="4D166E0A">
            <wp:extent cx="5286375" cy="2814638"/>
            <wp:effectExtent l="0" t="0" r="0" b="508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DDF" w:rsidRDefault="007C1DDF" w:rsidP="00C760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A10ACF">
        <w:rPr>
          <w:rFonts w:ascii="Times New Roman" w:hAnsi="Times New Roman" w:cs="Times New Roman"/>
          <w:b/>
          <w:sz w:val="24"/>
          <w:szCs w:val="24"/>
        </w:rPr>
        <w:t xml:space="preserve"> pav. </w:t>
      </w:r>
      <w:r>
        <w:rPr>
          <w:rFonts w:ascii="Times New Roman" w:hAnsi="Times New Roman" w:cs="Times New Roman"/>
          <w:b/>
          <w:sz w:val="24"/>
          <w:szCs w:val="24"/>
        </w:rPr>
        <w:t>Kvėpavimo</w:t>
      </w:r>
      <w:r w:rsidRPr="00A10ACF">
        <w:rPr>
          <w:rFonts w:ascii="Times New Roman" w:hAnsi="Times New Roman" w:cs="Times New Roman"/>
          <w:b/>
          <w:sz w:val="24"/>
          <w:szCs w:val="24"/>
        </w:rPr>
        <w:t xml:space="preserve"> sistemos sutrikimų turinčių Kauno miesto moksleivių proc., 2010-2014 m.</w:t>
      </w:r>
    </w:p>
    <w:p w:rsidR="00B6155F" w:rsidRDefault="00B6155F" w:rsidP="00C7600A">
      <w:pPr>
        <w:jc w:val="center"/>
        <w:rPr>
          <w:rFonts w:ascii="Times New Roman" w:hAnsi="Times New Roman" w:cs="Times New Roman"/>
          <w:b/>
          <w:sz w:val="24"/>
          <w:szCs w:val="24"/>
        </w:rPr>
      </w:pPr>
    </w:p>
    <w:p w:rsidR="00B6155F" w:rsidRPr="00B6155F" w:rsidRDefault="00B6155F" w:rsidP="00C7600A">
      <w:pPr>
        <w:ind w:firstLine="1134"/>
        <w:rPr>
          <w:rFonts w:ascii="Times New Roman" w:hAnsi="Times New Roman" w:cs="Times New Roman"/>
          <w:b/>
          <w:sz w:val="24"/>
          <w:szCs w:val="24"/>
        </w:rPr>
      </w:pPr>
      <w:r w:rsidRPr="00B6155F">
        <w:rPr>
          <w:rFonts w:ascii="Times New Roman" w:hAnsi="Times New Roman" w:cs="Times New Roman"/>
          <w:sz w:val="24"/>
          <w:szCs w:val="24"/>
        </w:rPr>
        <w:lastRenderedPageBreak/>
        <w:t>Mokinių sergamumas kvėpavimo sistemos ligomis pagal klases (amžių) svyruoja (10 pav.). Dažniausiai serga jaunesnių klasių mokiniai (1 klasės – 13,6 proc., 2 klasės – 12,9 proc., 3 klasės – 13,4 proc., 4 klasės – 13,8 proc.), tačiau didžiausias sergamumas užfiksuotas tarp 7 – 8 klasių mokinių (vidutiniškai 15,5 proc.). Nuo 9 klasės sergamumas kvėpavimo sistemos ligomis mažėjo – tarp 12 klasių moksleivių užregistruotas mažiausias kvėpavimo sistemos sutrikimų skaičius (jų turėjo 7,7 proc. dvyliktokų)</w:t>
      </w:r>
    </w:p>
    <w:p w:rsidR="00DA1F99" w:rsidRDefault="00DA1F99" w:rsidP="007C1DDF">
      <w:pPr>
        <w:rPr>
          <w:rFonts w:ascii="Times New Roman" w:hAnsi="Times New Roman" w:cs="Times New Roman"/>
          <w:b/>
          <w:sz w:val="24"/>
          <w:szCs w:val="24"/>
        </w:rPr>
      </w:pPr>
    </w:p>
    <w:p w:rsidR="00DA1F99" w:rsidRDefault="00B6155F" w:rsidP="007C1DDF">
      <w:pPr>
        <w:rPr>
          <w:rFonts w:ascii="Times New Roman" w:hAnsi="Times New Roman" w:cs="Times New Roman"/>
          <w:b/>
          <w:sz w:val="24"/>
          <w:szCs w:val="24"/>
        </w:rPr>
      </w:pPr>
      <w:r>
        <w:rPr>
          <w:noProof/>
          <w:lang w:eastAsia="lt-LT"/>
        </w:rPr>
        <w:drawing>
          <wp:inline distT="0" distB="0" distL="0" distR="0" wp14:anchorId="19C9AF88" wp14:editId="168D1135">
            <wp:extent cx="4572000" cy="3114675"/>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155F" w:rsidRDefault="00B6155F" w:rsidP="00C7600A">
      <w:pPr>
        <w:spacing w:line="240" w:lineRule="auto"/>
        <w:jc w:val="center"/>
        <w:rPr>
          <w:rFonts w:ascii="Times New Roman" w:hAnsi="Times New Roman" w:cs="Times New Roman"/>
          <w:b/>
          <w:bCs/>
          <w:sz w:val="23"/>
          <w:szCs w:val="23"/>
        </w:rPr>
      </w:pPr>
      <w:r>
        <w:rPr>
          <w:rFonts w:ascii="Times New Roman" w:hAnsi="Times New Roman" w:cs="Times New Roman"/>
          <w:b/>
          <w:bCs/>
          <w:sz w:val="23"/>
          <w:szCs w:val="23"/>
        </w:rPr>
        <w:t>10</w:t>
      </w:r>
      <w:r w:rsidRPr="006C5300">
        <w:rPr>
          <w:rFonts w:ascii="Times New Roman" w:hAnsi="Times New Roman" w:cs="Times New Roman"/>
          <w:b/>
          <w:bCs/>
          <w:sz w:val="23"/>
          <w:szCs w:val="23"/>
        </w:rPr>
        <w:t xml:space="preserve"> pav. Užregistruoti </w:t>
      </w:r>
      <w:r>
        <w:rPr>
          <w:rFonts w:ascii="Times New Roman" w:hAnsi="Times New Roman" w:cs="Times New Roman"/>
          <w:b/>
          <w:bCs/>
          <w:sz w:val="23"/>
          <w:szCs w:val="23"/>
        </w:rPr>
        <w:t>kvėpavimo</w:t>
      </w:r>
      <w:r w:rsidRPr="006C5300">
        <w:rPr>
          <w:rFonts w:ascii="Times New Roman" w:hAnsi="Times New Roman" w:cs="Times New Roman"/>
          <w:b/>
          <w:bCs/>
          <w:sz w:val="23"/>
          <w:szCs w:val="23"/>
        </w:rPr>
        <w:t xml:space="preserve"> sistemos sutrikimai pagal klases (amžių), proc., 2014 m.</w:t>
      </w:r>
    </w:p>
    <w:p w:rsidR="0053721C" w:rsidRDefault="0053721C" w:rsidP="00B6155F">
      <w:pPr>
        <w:rPr>
          <w:rFonts w:ascii="Times New Roman" w:hAnsi="Times New Roman" w:cs="Times New Roman"/>
          <w:b/>
          <w:bCs/>
          <w:sz w:val="23"/>
          <w:szCs w:val="23"/>
        </w:rPr>
      </w:pPr>
    </w:p>
    <w:p w:rsidR="0053721C" w:rsidRDefault="0053721C" w:rsidP="00B6155F">
      <w:pPr>
        <w:rPr>
          <w:rFonts w:ascii="Times New Roman" w:hAnsi="Times New Roman" w:cs="Times New Roman"/>
          <w:b/>
          <w:bCs/>
          <w:sz w:val="23"/>
          <w:szCs w:val="23"/>
        </w:rPr>
      </w:pPr>
    </w:p>
    <w:p w:rsidR="0053721C" w:rsidRDefault="0053721C" w:rsidP="00B6155F">
      <w:pPr>
        <w:rPr>
          <w:rFonts w:ascii="Times New Roman" w:hAnsi="Times New Roman" w:cs="Times New Roman"/>
          <w:b/>
          <w:bCs/>
          <w:i/>
          <w:iCs/>
          <w:sz w:val="24"/>
          <w:szCs w:val="24"/>
        </w:rPr>
      </w:pPr>
      <w:r w:rsidRPr="0053721C">
        <w:rPr>
          <w:rFonts w:ascii="Times New Roman" w:hAnsi="Times New Roman" w:cs="Times New Roman"/>
          <w:b/>
          <w:bCs/>
          <w:i/>
          <w:iCs/>
          <w:sz w:val="24"/>
          <w:szCs w:val="24"/>
        </w:rPr>
        <w:t>Kraujotakos sistemos sutrikimai</w:t>
      </w:r>
    </w:p>
    <w:p w:rsidR="002B340C" w:rsidRDefault="002B340C" w:rsidP="00B6155F">
      <w:pPr>
        <w:rPr>
          <w:rFonts w:ascii="Times New Roman" w:hAnsi="Times New Roman" w:cs="Times New Roman"/>
          <w:b/>
          <w:bCs/>
          <w:i/>
          <w:iCs/>
          <w:sz w:val="24"/>
          <w:szCs w:val="24"/>
        </w:rPr>
      </w:pPr>
    </w:p>
    <w:p w:rsidR="002B340C" w:rsidRDefault="00F44B38" w:rsidP="00C7600A">
      <w:pPr>
        <w:ind w:firstLine="1134"/>
        <w:rPr>
          <w:rFonts w:ascii="Times New Roman" w:hAnsi="Times New Roman" w:cs="Times New Roman"/>
          <w:bCs/>
          <w:sz w:val="24"/>
          <w:szCs w:val="24"/>
        </w:rPr>
      </w:pPr>
      <w:r>
        <w:rPr>
          <w:rFonts w:ascii="Times New Roman" w:hAnsi="Times New Roman" w:cs="Times New Roman"/>
          <w:bCs/>
          <w:sz w:val="24"/>
          <w:szCs w:val="24"/>
        </w:rPr>
        <w:t xml:space="preserve">Kraujotakos sistemos ligos – dažniausia mirties priežastis tiek Kauno mieste, tiek visoje Lietuvoje. Kraujotakos sistemos ligos vis dažniau nustatomos jauniems žmonėms. Kauno miesto moksleivių profilaktinių sveikatos patikrinimų duomenimis, </w:t>
      </w:r>
      <w:r w:rsidR="00A10525">
        <w:rPr>
          <w:rFonts w:ascii="Times New Roman" w:hAnsi="Times New Roman" w:cs="Times New Roman"/>
          <w:bCs/>
          <w:sz w:val="24"/>
          <w:szCs w:val="24"/>
        </w:rPr>
        <w:t xml:space="preserve">nuo 2010 metų vaikų, kuriems diagnozuoti kraujotakos sistemos sutrikimai procentas nuolat augo, ir </w:t>
      </w:r>
      <w:r>
        <w:rPr>
          <w:rFonts w:ascii="Times New Roman" w:hAnsi="Times New Roman" w:cs="Times New Roman"/>
          <w:bCs/>
          <w:sz w:val="24"/>
          <w:szCs w:val="24"/>
        </w:rPr>
        <w:t xml:space="preserve">2014 metais </w:t>
      </w:r>
      <w:r w:rsidR="00A10525">
        <w:rPr>
          <w:rFonts w:ascii="Times New Roman" w:hAnsi="Times New Roman" w:cs="Times New Roman"/>
          <w:bCs/>
          <w:sz w:val="24"/>
          <w:szCs w:val="24"/>
        </w:rPr>
        <w:t>siekė</w:t>
      </w:r>
      <w:r>
        <w:rPr>
          <w:rFonts w:ascii="Times New Roman" w:hAnsi="Times New Roman" w:cs="Times New Roman"/>
          <w:bCs/>
          <w:sz w:val="24"/>
          <w:szCs w:val="24"/>
        </w:rPr>
        <w:t xml:space="preserve"> 12,4 proc. moksleivių (11 pav.). </w:t>
      </w:r>
    </w:p>
    <w:p w:rsidR="00A10525" w:rsidRDefault="00A10525" w:rsidP="00B6155F">
      <w:pPr>
        <w:rPr>
          <w:rFonts w:ascii="Times New Roman" w:hAnsi="Times New Roman" w:cs="Times New Roman"/>
          <w:bCs/>
          <w:sz w:val="24"/>
          <w:szCs w:val="24"/>
        </w:rPr>
      </w:pPr>
    </w:p>
    <w:p w:rsidR="00A10525" w:rsidRDefault="00A10525" w:rsidP="00C7600A">
      <w:pPr>
        <w:spacing w:line="240" w:lineRule="auto"/>
        <w:rPr>
          <w:rFonts w:ascii="Times New Roman" w:hAnsi="Times New Roman" w:cs="Times New Roman"/>
          <w:bCs/>
          <w:sz w:val="24"/>
          <w:szCs w:val="24"/>
        </w:rPr>
      </w:pPr>
      <w:r>
        <w:rPr>
          <w:noProof/>
          <w:lang w:eastAsia="lt-LT"/>
        </w:rPr>
        <w:lastRenderedPageBreak/>
        <w:drawing>
          <wp:inline distT="0" distB="0" distL="0" distR="0" wp14:anchorId="1045C215" wp14:editId="5218C12C">
            <wp:extent cx="5514975" cy="27432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0525" w:rsidRDefault="00A10525" w:rsidP="00C760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A10ACF">
        <w:rPr>
          <w:rFonts w:ascii="Times New Roman" w:hAnsi="Times New Roman" w:cs="Times New Roman"/>
          <w:b/>
          <w:sz w:val="24"/>
          <w:szCs w:val="24"/>
        </w:rPr>
        <w:t xml:space="preserve"> pav. </w:t>
      </w:r>
      <w:r>
        <w:rPr>
          <w:rFonts w:ascii="Times New Roman" w:hAnsi="Times New Roman" w:cs="Times New Roman"/>
          <w:b/>
          <w:sz w:val="24"/>
          <w:szCs w:val="24"/>
        </w:rPr>
        <w:t>Kraujotakos</w:t>
      </w:r>
      <w:r w:rsidRPr="00A10ACF">
        <w:rPr>
          <w:rFonts w:ascii="Times New Roman" w:hAnsi="Times New Roman" w:cs="Times New Roman"/>
          <w:b/>
          <w:sz w:val="24"/>
          <w:szCs w:val="24"/>
        </w:rPr>
        <w:t xml:space="preserve"> sistemos sutrikimų turinčių Kauno miesto moksleivių proc., 2010-2014 m.</w:t>
      </w:r>
    </w:p>
    <w:p w:rsidR="00A10525" w:rsidRDefault="00A10525" w:rsidP="00B6155F">
      <w:pPr>
        <w:rPr>
          <w:rFonts w:ascii="Times New Roman" w:hAnsi="Times New Roman" w:cs="Times New Roman"/>
          <w:bCs/>
          <w:sz w:val="24"/>
          <w:szCs w:val="24"/>
        </w:rPr>
      </w:pPr>
    </w:p>
    <w:p w:rsidR="00A10525" w:rsidRPr="00F44B38" w:rsidRDefault="00A10525" w:rsidP="00C7600A">
      <w:pPr>
        <w:ind w:firstLine="1134"/>
        <w:rPr>
          <w:rFonts w:ascii="Times New Roman" w:hAnsi="Times New Roman" w:cs="Times New Roman"/>
          <w:bCs/>
          <w:sz w:val="24"/>
          <w:szCs w:val="24"/>
        </w:rPr>
      </w:pPr>
      <w:r>
        <w:rPr>
          <w:rFonts w:ascii="Times New Roman" w:hAnsi="Times New Roman" w:cs="Times New Roman"/>
          <w:bCs/>
          <w:sz w:val="24"/>
          <w:szCs w:val="24"/>
        </w:rPr>
        <w:t xml:space="preserve">Didžiausias procentas kraujotakos sistemos sutrikimų turinčių vaikų, vertinat pagal klases (amžių), nustatytas pirmose klasėse (16,3 proc.),  </w:t>
      </w:r>
      <w:r w:rsidR="00C6229B">
        <w:rPr>
          <w:rFonts w:ascii="Times New Roman" w:hAnsi="Times New Roman" w:cs="Times New Roman"/>
          <w:bCs/>
          <w:sz w:val="24"/>
          <w:szCs w:val="24"/>
        </w:rPr>
        <w:t>tarp vyresnių klasių moksleivių sergamumas kraujotakos sistemos sutrikimais tendencingai mažėja, mažiausiai sergančiųjų kraujotakos sistemos sutrikimais nustatyta 12 klasėje – 8,7 proc. (12 pav.).</w:t>
      </w:r>
    </w:p>
    <w:p w:rsidR="00B6155F" w:rsidRPr="00E84B55" w:rsidRDefault="00B6155F" w:rsidP="007C1DDF">
      <w:pPr>
        <w:rPr>
          <w:rFonts w:ascii="Times New Roman" w:hAnsi="Times New Roman" w:cs="Times New Roman"/>
          <w:b/>
          <w:sz w:val="24"/>
          <w:szCs w:val="24"/>
        </w:rPr>
      </w:pPr>
    </w:p>
    <w:p w:rsidR="007C1DDF" w:rsidRDefault="00A10525" w:rsidP="00C7600A">
      <w:pPr>
        <w:spacing w:line="240" w:lineRule="auto"/>
        <w:rPr>
          <w:rFonts w:ascii="Times New Roman" w:hAnsi="Times New Roman" w:cs="Times New Roman"/>
          <w:sz w:val="24"/>
          <w:szCs w:val="24"/>
        </w:rPr>
      </w:pPr>
      <w:r>
        <w:rPr>
          <w:noProof/>
          <w:lang w:eastAsia="lt-LT"/>
        </w:rPr>
        <w:drawing>
          <wp:inline distT="0" distB="0" distL="0" distR="0" wp14:anchorId="2774BC99" wp14:editId="3317338C">
            <wp:extent cx="4591050" cy="2733675"/>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0525" w:rsidRPr="00C7600A" w:rsidRDefault="00A10525" w:rsidP="00C7600A">
      <w:pPr>
        <w:spacing w:line="240" w:lineRule="auto"/>
        <w:jc w:val="center"/>
        <w:rPr>
          <w:rFonts w:ascii="Times New Roman" w:hAnsi="Times New Roman" w:cs="Times New Roman"/>
          <w:b/>
          <w:bCs/>
          <w:sz w:val="24"/>
          <w:szCs w:val="24"/>
        </w:rPr>
      </w:pPr>
      <w:r w:rsidRPr="00C7600A">
        <w:rPr>
          <w:rFonts w:ascii="Times New Roman" w:hAnsi="Times New Roman" w:cs="Times New Roman"/>
          <w:b/>
          <w:bCs/>
          <w:sz w:val="24"/>
          <w:szCs w:val="24"/>
        </w:rPr>
        <w:t>12 pav. Užregistruoti kraujotakos sistemos sutrikimai pagal klases (amžių), proc., 2014 m.</w:t>
      </w:r>
    </w:p>
    <w:p w:rsidR="00A10525" w:rsidRDefault="00A10525" w:rsidP="002929FE">
      <w:pPr>
        <w:rPr>
          <w:rFonts w:ascii="Times New Roman" w:hAnsi="Times New Roman" w:cs="Times New Roman"/>
          <w:sz w:val="24"/>
          <w:szCs w:val="24"/>
        </w:rPr>
      </w:pPr>
    </w:p>
    <w:p w:rsidR="00C7600A" w:rsidRDefault="00C7600A" w:rsidP="002929FE">
      <w:pPr>
        <w:rPr>
          <w:rFonts w:ascii="Times New Roman" w:hAnsi="Times New Roman" w:cs="Times New Roman"/>
          <w:b/>
          <w:i/>
          <w:sz w:val="24"/>
          <w:szCs w:val="24"/>
        </w:rPr>
      </w:pPr>
    </w:p>
    <w:p w:rsidR="00C7600A" w:rsidRDefault="00C7600A" w:rsidP="002929FE">
      <w:pPr>
        <w:rPr>
          <w:rFonts w:ascii="Times New Roman" w:hAnsi="Times New Roman" w:cs="Times New Roman"/>
          <w:b/>
          <w:i/>
          <w:sz w:val="24"/>
          <w:szCs w:val="24"/>
        </w:rPr>
      </w:pPr>
    </w:p>
    <w:p w:rsidR="00C7600A" w:rsidRDefault="00C7600A" w:rsidP="002929FE">
      <w:pPr>
        <w:rPr>
          <w:rFonts w:ascii="Times New Roman" w:hAnsi="Times New Roman" w:cs="Times New Roman"/>
          <w:b/>
          <w:i/>
          <w:sz w:val="24"/>
          <w:szCs w:val="24"/>
        </w:rPr>
      </w:pPr>
    </w:p>
    <w:p w:rsidR="00C7600A" w:rsidRDefault="00C7600A" w:rsidP="002929FE">
      <w:pPr>
        <w:rPr>
          <w:rFonts w:ascii="Times New Roman" w:hAnsi="Times New Roman" w:cs="Times New Roman"/>
          <w:b/>
          <w:i/>
          <w:sz w:val="24"/>
          <w:szCs w:val="24"/>
        </w:rPr>
      </w:pPr>
    </w:p>
    <w:p w:rsidR="007C1DDF" w:rsidRDefault="00C6229B" w:rsidP="002929FE">
      <w:pPr>
        <w:rPr>
          <w:rFonts w:ascii="Times New Roman" w:hAnsi="Times New Roman" w:cs="Times New Roman"/>
          <w:b/>
          <w:i/>
          <w:sz w:val="24"/>
          <w:szCs w:val="24"/>
        </w:rPr>
      </w:pPr>
      <w:r w:rsidRPr="00C6229B">
        <w:rPr>
          <w:rFonts w:ascii="Times New Roman" w:hAnsi="Times New Roman" w:cs="Times New Roman"/>
          <w:b/>
          <w:i/>
          <w:sz w:val="24"/>
          <w:szCs w:val="24"/>
        </w:rPr>
        <w:lastRenderedPageBreak/>
        <w:t>Nervų sistema</w:t>
      </w:r>
    </w:p>
    <w:p w:rsidR="00C6229B" w:rsidRDefault="00C6229B" w:rsidP="002929FE">
      <w:pPr>
        <w:rPr>
          <w:rFonts w:ascii="Times New Roman" w:hAnsi="Times New Roman" w:cs="Times New Roman"/>
          <w:b/>
          <w:i/>
          <w:sz w:val="24"/>
          <w:szCs w:val="24"/>
        </w:rPr>
      </w:pPr>
    </w:p>
    <w:p w:rsidR="00C6229B" w:rsidRDefault="006842E9" w:rsidP="00C7600A">
      <w:pPr>
        <w:ind w:firstLine="1134"/>
        <w:rPr>
          <w:rFonts w:ascii="Times New Roman" w:hAnsi="Times New Roman" w:cs="Times New Roman"/>
          <w:sz w:val="24"/>
          <w:szCs w:val="24"/>
        </w:rPr>
      </w:pPr>
      <w:r>
        <w:rPr>
          <w:rFonts w:ascii="Times New Roman" w:hAnsi="Times New Roman" w:cs="Times New Roman"/>
          <w:sz w:val="24"/>
          <w:szCs w:val="24"/>
        </w:rPr>
        <w:t>Nervų sistemos sutrikimų turinčių Kauno miesto moksleivių procentas 2014 metais kito nežymiai (13 pav.). Nuo 2010 iki 2014 metų vaikų, turinčių nervų sistemos sutrikimų skaičius paaugo maždaug procentu ir 201</w:t>
      </w:r>
      <w:r w:rsidR="00CB7F23">
        <w:rPr>
          <w:rFonts w:ascii="Times New Roman" w:hAnsi="Times New Roman" w:cs="Times New Roman"/>
          <w:sz w:val="24"/>
          <w:szCs w:val="24"/>
        </w:rPr>
        <w:t>4 m. siekė 5 proc.</w:t>
      </w:r>
    </w:p>
    <w:p w:rsidR="006842E9" w:rsidRDefault="006842E9" w:rsidP="002929FE">
      <w:pPr>
        <w:rPr>
          <w:rFonts w:ascii="Times New Roman" w:hAnsi="Times New Roman" w:cs="Times New Roman"/>
          <w:sz w:val="24"/>
          <w:szCs w:val="24"/>
        </w:rPr>
      </w:pPr>
    </w:p>
    <w:p w:rsidR="006842E9" w:rsidRDefault="006842E9" w:rsidP="00C7600A">
      <w:pPr>
        <w:spacing w:line="240" w:lineRule="auto"/>
        <w:rPr>
          <w:rFonts w:ascii="Times New Roman" w:hAnsi="Times New Roman" w:cs="Times New Roman"/>
          <w:sz w:val="24"/>
          <w:szCs w:val="24"/>
        </w:rPr>
      </w:pPr>
      <w:r>
        <w:rPr>
          <w:noProof/>
          <w:lang w:eastAsia="lt-LT"/>
        </w:rPr>
        <w:drawing>
          <wp:inline distT="0" distB="0" distL="0" distR="0" wp14:anchorId="57510A69" wp14:editId="0A84DDEE">
            <wp:extent cx="4829175" cy="2747963"/>
            <wp:effectExtent l="0" t="0" r="0"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42E9" w:rsidRDefault="006842E9" w:rsidP="00C760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Pr="00A10ACF">
        <w:rPr>
          <w:rFonts w:ascii="Times New Roman" w:hAnsi="Times New Roman" w:cs="Times New Roman"/>
          <w:b/>
          <w:sz w:val="24"/>
          <w:szCs w:val="24"/>
        </w:rPr>
        <w:t xml:space="preserve"> pav. </w:t>
      </w:r>
      <w:r>
        <w:rPr>
          <w:rFonts w:ascii="Times New Roman" w:hAnsi="Times New Roman" w:cs="Times New Roman"/>
          <w:b/>
          <w:sz w:val="24"/>
          <w:szCs w:val="24"/>
        </w:rPr>
        <w:t>Nervų</w:t>
      </w:r>
      <w:r w:rsidRPr="00A10ACF">
        <w:rPr>
          <w:rFonts w:ascii="Times New Roman" w:hAnsi="Times New Roman" w:cs="Times New Roman"/>
          <w:b/>
          <w:sz w:val="24"/>
          <w:szCs w:val="24"/>
        </w:rPr>
        <w:t xml:space="preserve"> sistemos sutrikimų turinčių Kauno miesto moksleivių proc., 2010-2014 m.</w:t>
      </w:r>
    </w:p>
    <w:p w:rsidR="00CB7F23" w:rsidRDefault="00CB7F23" w:rsidP="006842E9">
      <w:pPr>
        <w:rPr>
          <w:rFonts w:ascii="Times New Roman" w:hAnsi="Times New Roman" w:cs="Times New Roman"/>
          <w:b/>
          <w:sz w:val="24"/>
          <w:szCs w:val="24"/>
        </w:rPr>
      </w:pPr>
    </w:p>
    <w:p w:rsidR="00CA2C36" w:rsidRDefault="00CA2C36" w:rsidP="00C7600A">
      <w:pPr>
        <w:ind w:firstLine="1134"/>
        <w:rPr>
          <w:rFonts w:ascii="Times New Roman" w:hAnsi="Times New Roman" w:cs="Times New Roman"/>
          <w:sz w:val="24"/>
          <w:szCs w:val="24"/>
        </w:rPr>
      </w:pPr>
      <w:r w:rsidRPr="00CA2C36">
        <w:rPr>
          <w:rFonts w:ascii="Times New Roman" w:hAnsi="Times New Roman" w:cs="Times New Roman"/>
          <w:sz w:val="24"/>
          <w:szCs w:val="24"/>
        </w:rPr>
        <w:t>Analizuojant duomenis, pastebėta, kad pirmų ir antrų klasių mokiniai dažniau turi nervų sistemos sutrikimų nei vyresnių pradinių klasių vaikai.</w:t>
      </w:r>
      <w:r>
        <w:rPr>
          <w:rFonts w:ascii="Times New Roman" w:hAnsi="Times New Roman" w:cs="Times New Roman"/>
          <w:sz w:val="24"/>
          <w:szCs w:val="24"/>
        </w:rPr>
        <w:t xml:space="preserve"> Tai rodo, kad jau ateinantys į pirmą klasę mokiniai patiria įtampą ar stresą. Tarp vyresnių klasių moksleivių nervų sistemos sutrikimų skaičius tendencingai mažėja, išskyrus 6-8 klasės moksleivius, tarp kurių registruojamas šių sutrikimų skaičiaus padidėjimas (14 pav.). Tarp 12 klasės moksleivių nervų sistemos sutrikim</w:t>
      </w:r>
      <w:r w:rsidR="00C7600A">
        <w:rPr>
          <w:rFonts w:ascii="Times New Roman" w:hAnsi="Times New Roman" w:cs="Times New Roman"/>
          <w:sz w:val="24"/>
          <w:szCs w:val="24"/>
        </w:rPr>
        <w:t>ų užregistruota dvigubai mažiau</w:t>
      </w:r>
      <w:r>
        <w:rPr>
          <w:rFonts w:ascii="Times New Roman" w:hAnsi="Times New Roman" w:cs="Times New Roman"/>
          <w:sz w:val="24"/>
          <w:szCs w:val="24"/>
        </w:rPr>
        <w:t xml:space="preserve"> nei tarp pirmokų. </w:t>
      </w:r>
    </w:p>
    <w:p w:rsidR="00CC7EDC" w:rsidRDefault="00CC7EDC" w:rsidP="006842E9">
      <w:pPr>
        <w:rPr>
          <w:rFonts w:ascii="Times New Roman" w:hAnsi="Times New Roman" w:cs="Times New Roman"/>
          <w:sz w:val="24"/>
          <w:szCs w:val="24"/>
        </w:rPr>
      </w:pPr>
    </w:p>
    <w:p w:rsidR="00CB7F23" w:rsidRDefault="00CB7F23" w:rsidP="00C7600A">
      <w:pPr>
        <w:spacing w:line="240" w:lineRule="auto"/>
        <w:rPr>
          <w:rFonts w:ascii="Times New Roman" w:hAnsi="Times New Roman" w:cs="Times New Roman"/>
          <w:b/>
          <w:sz w:val="24"/>
          <w:szCs w:val="24"/>
        </w:rPr>
      </w:pPr>
      <w:r>
        <w:rPr>
          <w:noProof/>
          <w:lang w:eastAsia="lt-LT"/>
        </w:rPr>
        <w:lastRenderedPageBreak/>
        <w:drawing>
          <wp:inline distT="0" distB="0" distL="0" distR="0" wp14:anchorId="76A2B0AA" wp14:editId="3E6F23E4">
            <wp:extent cx="4362450" cy="2952750"/>
            <wp:effectExtent l="0" t="0" r="0"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229B" w:rsidRPr="00C7600A" w:rsidRDefault="00CB7F23" w:rsidP="00C7600A">
      <w:pPr>
        <w:spacing w:line="240" w:lineRule="auto"/>
        <w:jc w:val="center"/>
        <w:rPr>
          <w:rFonts w:ascii="Times New Roman" w:hAnsi="Times New Roman" w:cs="Times New Roman"/>
          <w:b/>
          <w:bCs/>
          <w:sz w:val="24"/>
          <w:szCs w:val="24"/>
        </w:rPr>
      </w:pPr>
      <w:r w:rsidRPr="00C7600A">
        <w:rPr>
          <w:rFonts w:ascii="Times New Roman" w:hAnsi="Times New Roman" w:cs="Times New Roman"/>
          <w:b/>
          <w:bCs/>
          <w:sz w:val="24"/>
          <w:szCs w:val="24"/>
        </w:rPr>
        <w:t xml:space="preserve">14 pav. Užregistruoti </w:t>
      </w:r>
      <w:r w:rsidR="00CC7EDC" w:rsidRPr="00C7600A">
        <w:rPr>
          <w:rFonts w:ascii="Times New Roman" w:hAnsi="Times New Roman" w:cs="Times New Roman"/>
          <w:b/>
          <w:bCs/>
          <w:sz w:val="24"/>
          <w:szCs w:val="24"/>
        </w:rPr>
        <w:t>nervų</w:t>
      </w:r>
      <w:r w:rsidRPr="00C7600A">
        <w:rPr>
          <w:rFonts w:ascii="Times New Roman" w:hAnsi="Times New Roman" w:cs="Times New Roman"/>
          <w:b/>
          <w:bCs/>
          <w:sz w:val="24"/>
          <w:szCs w:val="24"/>
        </w:rPr>
        <w:t xml:space="preserve"> sistemos sutrikimai pagal klases (amžių), proc., 2014 m.</w:t>
      </w:r>
    </w:p>
    <w:p w:rsidR="00C6229B" w:rsidRDefault="00C6229B" w:rsidP="002929FE">
      <w:pPr>
        <w:rPr>
          <w:rFonts w:ascii="Times New Roman" w:hAnsi="Times New Roman" w:cs="Times New Roman"/>
          <w:sz w:val="24"/>
          <w:szCs w:val="24"/>
        </w:rPr>
      </w:pPr>
    </w:p>
    <w:p w:rsidR="00C7600A" w:rsidRDefault="00C7600A" w:rsidP="00CC7EDC">
      <w:pPr>
        <w:rPr>
          <w:rFonts w:ascii="Times New Roman" w:hAnsi="Times New Roman" w:cs="Times New Roman"/>
          <w:b/>
          <w:i/>
          <w:sz w:val="24"/>
          <w:szCs w:val="24"/>
        </w:rPr>
      </w:pPr>
    </w:p>
    <w:p w:rsidR="00CC7EDC" w:rsidRDefault="00CC7EDC" w:rsidP="00CC7EDC">
      <w:pPr>
        <w:rPr>
          <w:rFonts w:ascii="Times New Roman" w:hAnsi="Times New Roman" w:cs="Times New Roman"/>
          <w:b/>
          <w:i/>
          <w:sz w:val="24"/>
          <w:szCs w:val="24"/>
        </w:rPr>
      </w:pPr>
      <w:r w:rsidRPr="00CC7EDC">
        <w:rPr>
          <w:rFonts w:ascii="Times New Roman" w:hAnsi="Times New Roman" w:cs="Times New Roman"/>
          <w:b/>
          <w:i/>
          <w:sz w:val="24"/>
          <w:szCs w:val="24"/>
        </w:rPr>
        <w:t>Virškinimo sistemos sutrikimai</w:t>
      </w:r>
    </w:p>
    <w:p w:rsidR="00CC7EDC" w:rsidRDefault="00CC7EDC" w:rsidP="00CC7EDC">
      <w:pPr>
        <w:rPr>
          <w:rFonts w:ascii="Times New Roman" w:hAnsi="Times New Roman" w:cs="Times New Roman"/>
          <w:b/>
          <w:i/>
          <w:sz w:val="24"/>
          <w:szCs w:val="24"/>
        </w:rPr>
      </w:pPr>
    </w:p>
    <w:p w:rsidR="00CC7EDC" w:rsidRPr="00CC7EDC" w:rsidRDefault="00CC7EDC" w:rsidP="00C7600A">
      <w:pPr>
        <w:ind w:firstLine="1134"/>
        <w:rPr>
          <w:rFonts w:ascii="Times New Roman" w:hAnsi="Times New Roman" w:cs="Times New Roman"/>
          <w:sz w:val="24"/>
          <w:szCs w:val="24"/>
        </w:rPr>
      </w:pPr>
      <w:r w:rsidRPr="00CC7EDC">
        <w:rPr>
          <w:rFonts w:ascii="Times New Roman" w:hAnsi="Times New Roman" w:cs="Times New Roman"/>
          <w:sz w:val="24"/>
          <w:szCs w:val="24"/>
        </w:rPr>
        <w:t xml:space="preserve">Dažniausiai virškinimas sutrinka netinkamai maitinantis, patiriant nuolatinį stresą ir nerimą, esant nepakankamam arba pernelyg dideliam fiziniam krūviui ir </w:t>
      </w:r>
      <w:r w:rsidR="007A5234">
        <w:rPr>
          <w:rFonts w:ascii="Times New Roman" w:hAnsi="Times New Roman" w:cs="Times New Roman"/>
          <w:sz w:val="24"/>
          <w:szCs w:val="24"/>
        </w:rPr>
        <w:t xml:space="preserve">pan. 2014 m. virškinimo sistemos sutrikimai nustatyti 1,3 pasitikrinusiųjų vaikų (15 pav.). 2010 – 2014 metų laikotarpiu pastebimas nežymus virškinimo sistemos sutrikimų turinčių vaikų skaičiaus mažėjimas. </w:t>
      </w:r>
    </w:p>
    <w:p w:rsidR="00C6229B" w:rsidRDefault="00C6229B" w:rsidP="002929FE">
      <w:pPr>
        <w:rPr>
          <w:rFonts w:ascii="Times New Roman" w:hAnsi="Times New Roman" w:cs="Times New Roman"/>
          <w:sz w:val="24"/>
          <w:szCs w:val="24"/>
        </w:rPr>
      </w:pPr>
    </w:p>
    <w:p w:rsidR="00CC7EDC" w:rsidRDefault="007A5234" w:rsidP="002929FE">
      <w:pPr>
        <w:rPr>
          <w:rFonts w:ascii="Times New Roman" w:hAnsi="Times New Roman" w:cs="Times New Roman"/>
          <w:sz w:val="24"/>
          <w:szCs w:val="24"/>
        </w:rPr>
      </w:pPr>
      <w:r>
        <w:rPr>
          <w:noProof/>
          <w:lang w:eastAsia="lt-LT"/>
        </w:rPr>
        <w:drawing>
          <wp:inline distT="0" distB="0" distL="0" distR="0" wp14:anchorId="3EB31A4F" wp14:editId="78050BFB">
            <wp:extent cx="5257800" cy="2486025"/>
            <wp:effectExtent l="0" t="0" r="0" b="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7EDC" w:rsidRDefault="00CC7EDC" w:rsidP="00C7600A">
      <w:pPr>
        <w:jc w:val="center"/>
        <w:rPr>
          <w:rFonts w:ascii="Times New Roman" w:hAnsi="Times New Roman" w:cs="Times New Roman"/>
          <w:b/>
          <w:sz w:val="24"/>
          <w:szCs w:val="24"/>
        </w:rPr>
      </w:pPr>
      <w:r>
        <w:rPr>
          <w:rFonts w:ascii="Times New Roman" w:hAnsi="Times New Roman" w:cs="Times New Roman"/>
          <w:b/>
          <w:sz w:val="24"/>
          <w:szCs w:val="24"/>
        </w:rPr>
        <w:t xml:space="preserve">15 </w:t>
      </w:r>
      <w:r w:rsidRPr="00A10ACF">
        <w:rPr>
          <w:rFonts w:ascii="Times New Roman" w:hAnsi="Times New Roman" w:cs="Times New Roman"/>
          <w:b/>
          <w:sz w:val="24"/>
          <w:szCs w:val="24"/>
        </w:rPr>
        <w:t xml:space="preserve">pav. </w:t>
      </w:r>
      <w:r>
        <w:rPr>
          <w:rFonts w:ascii="Times New Roman" w:hAnsi="Times New Roman" w:cs="Times New Roman"/>
          <w:b/>
          <w:sz w:val="24"/>
          <w:szCs w:val="24"/>
        </w:rPr>
        <w:t>Virškinimo</w:t>
      </w:r>
      <w:r w:rsidRPr="00A10ACF">
        <w:rPr>
          <w:rFonts w:ascii="Times New Roman" w:hAnsi="Times New Roman" w:cs="Times New Roman"/>
          <w:b/>
          <w:sz w:val="24"/>
          <w:szCs w:val="24"/>
        </w:rPr>
        <w:t xml:space="preserve"> sistemos sutrikimų turinčių Kauno miesto moksleivių proc., 2010-2014 m.</w:t>
      </w:r>
    </w:p>
    <w:p w:rsidR="00924D1B" w:rsidRPr="00924D1B" w:rsidRDefault="00924D1B" w:rsidP="00C7600A">
      <w:pPr>
        <w:ind w:firstLine="1134"/>
        <w:rPr>
          <w:rFonts w:ascii="Times New Roman" w:hAnsi="Times New Roman" w:cs="Times New Roman"/>
          <w:b/>
          <w:sz w:val="24"/>
          <w:szCs w:val="24"/>
        </w:rPr>
      </w:pPr>
      <w:r w:rsidRPr="00924D1B">
        <w:rPr>
          <w:rFonts w:ascii="Times New Roman" w:hAnsi="Times New Roman" w:cs="Times New Roman"/>
          <w:sz w:val="24"/>
          <w:szCs w:val="24"/>
        </w:rPr>
        <w:lastRenderedPageBreak/>
        <w:t>Analizuojant virškinimo sistemos sutrikimus pagal amžių, stebimas tendencingas susirgimų skaičiaus didėjimas kartu su mokinio amžiumi.</w:t>
      </w:r>
      <w:r>
        <w:rPr>
          <w:rFonts w:ascii="Times New Roman" w:hAnsi="Times New Roman" w:cs="Times New Roman"/>
          <w:sz w:val="24"/>
          <w:szCs w:val="24"/>
        </w:rPr>
        <w:t xml:space="preserve"> Virškinimo sutrikimų skaičius, lyginant pirmų klasių moksleivius su dvyliktokais, išaugo daugiau nei 3,5 karto (16 pav.). </w:t>
      </w:r>
    </w:p>
    <w:p w:rsidR="00CC7EDC" w:rsidRDefault="00924D1B" w:rsidP="00C7600A">
      <w:pPr>
        <w:spacing w:line="240" w:lineRule="auto"/>
        <w:rPr>
          <w:rFonts w:ascii="Times New Roman" w:hAnsi="Times New Roman" w:cs="Times New Roman"/>
          <w:sz w:val="24"/>
          <w:szCs w:val="24"/>
        </w:rPr>
      </w:pPr>
      <w:r>
        <w:rPr>
          <w:noProof/>
          <w:lang w:eastAsia="lt-LT"/>
        </w:rPr>
        <w:drawing>
          <wp:inline distT="0" distB="0" distL="0" distR="0" wp14:anchorId="3CD6131D" wp14:editId="7822093B">
            <wp:extent cx="4572000" cy="3157538"/>
            <wp:effectExtent l="0" t="0" r="0" b="508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4D1B" w:rsidRPr="007A5234" w:rsidRDefault="00924D1B" w:rsidP="00C7600A">
      <w:pPr>
        <w:spacing w:line="240" w:lineRule="auto"/>
        <w:jc w:val="center"/>
        <w:rPr>
          <w:rFonts w:ascii="Times New Roman" w:hAnsi="Times New Roman" w:cs="Times New Roman"/>
          <w:b/>
          <w:bCs/>
          <w:sz w:val="23"/>
          <w:szCs w:val="23"/>
        </w:rPr>
      </w:pPr>
      <w:r>
        <w:rPr>
          <w:rFonts w:ascii="Times New Roman" w:hAnsi="Times New Roman" w:cs="Times New Roman"/>
          <w:b/>
          <w:bCs/>
          <w:sz w:val="23"/>
          <w:szCs w:val="23"/>
        </w:rPr>
        <w:t>16</w:t>
      </w:r>
      <w:r w:rsidRPr="006C5300">
        <w:rPr>
          <w:rFonts w:ascii="Times New Roman" w:hAnsi="Times New Roman" w:cs="Times New Roman"/>
          <w:b/>
          <w:bCs/>
          <w:sz w:val="23"/>
          <w:szCs w:val="23"/>
        </w:rPr>
        <w:t xml:space="preserve"> pav. Užregistruoti </w:t>
      </w:r>
      <w:r>
        <w:rPr>
          <w:rFonts w:ascii="Times New Roman" w:hAnsi="Times New Roman" w:cs="Times New Roman"/>
          <w:b/>
          <w:bCs/>
          <w:sz w:val="23"/>
          <w:szCs w:val="23"/>
        </w:rPr>
        <w:t>virškinimo</w:t>
      </w:r>
      <w:r w:rsidRPr="006C5300">
        <w:rPr>
          <w:rFonts w:ascii="Times New Roman" w:hAnsi="Times New Roman" w:cs="Times New Roman"/>
          <w:b/>
          <w:bCs/>
          <w:sz w:val="23"/>
          <w:szCs w:val="23"/>
        </w:rPr>
        <w:t xml:space="preserve"> sistemos sutrikimai pagal klases (amžių), proc., 2014 m.</w:t>
      </w:r>
    </w:p>
    <w:p w:rsidR="00924D1B" w:rsidRDefault="00924D1B" w:rsidP="00C7600A">
      <w:pPr>
        <w:spacing w:line="240" w:lineRule="auto"/>
        <w:rPr>
          <w:rFonts w:ascii="Times New Roman" w:hAnsi="Times New Roman" w:cs="Times New Roman"/>
          <w:sz w:val="24"/>
          <w:szCs w:val="24"/>
        </w:rPr>
      </w:pPr>
    </w:p>
    <w:p w:rsidR="00C7600A" w:rsidRDefault="00C7600A" w:rsidP="002929FE">
      <w:pPr>
        <w:rPr>
          <w:rFonts w:ascii="Times New Roman" w:hAnsi="Times New Roman" w:cs="Times New Roman"/>
          <w:b/>
          <w:i/>
          <w:sz w:val="24"/>
          <w:szCs w:val="24"/>
        </w:rPr>
      </w:pPr>
    </w:p>
    <w:p w:rsidR="00CC7EDC" w:rsidRPr="00924D1B" w:rsidRDefault="00924D1B" w:rsidP="002929FE">
      <w:pPr>
        <w:rPr>
          <w:rFonts w:ascii="Times New Roman" w:hAnsi="Times New Roman" w:cs="Times New Roman"/>
          <w:b/>
          <w:i/>
          <w:sz w:val="24"/>
          <w:szCs w:val="24"/>
        </w:rPr>
      </w:pPr>
      <w:r w:rsidRPr="00924D1B">
        <w:rPr>
          <w:rFonts w:ascii="Times New Roman" w:hAnsi="Times New Roman" w:cs="Times New Roman"/>
          <w:b/>
          <w:i/>
          <w:sz w:val="24"/>
          <w:szCs w:val="24"/>
        </w:rPr>
        <w:t>Endokrininė sistema</w:t>
      </w:r>
    </w:p>
    <w:p w:rsidR="00C6229B" w:rsidRDefault="00C6229B" w:rsidP="002929FE">
      <w:pPr>
        <w:rPr>
          <w:rFonts w:ascii="Times New Roman" w:hAnsi="Times New Roman" w:cs="Times New Roman"/>
          <w:sz w:val="24"/>
          <w:szCs w:val="24"/>
        </w:rPr>
      </w:pPr>
    </w:p>
    <w:p w:rsidR="001F53BD" w:rsidRDefault="00F93FA9" w:rsidP="00C7600A">
      <w:pPr>
        <w:ind w:firstLine="1134"/>
        <w:rPr>
          <w:rFonts w:ascii="Times New Roman" w:hAnsi="Times New Roman" w:cs="Times New Roman"/>
          <w:sz w:val="24"/>
          <w:szCs w:val="24"/>
        </w:rPr>
      </w:pPr>
      <w:r>
        <w:rPr>
          <w:rFonts w:ascii="Times New Roman" w:hAnsi="Times New Roman" w:cs="Times New Roman"/>
          <w:sz w:val="24"/>
          <w:szCs w:val="24"/>
        </w:rPr>
        <w:t>Vaikų endokrininių liaukų veiklos sutrikimai gali sukelti rimtas sveikatos problemas. Endokrininės sistemos sutrikimus gali lemti daug faktorių, tokių kaip įtampa, didelis krūvis mokykloje, stresas. Nemaža dalis endokrininių ligų yra paveldimos: jei šeimoje buvo sergančių skydliaukės ligomis, cukriniu diabetu, didesnė tikimybė, kad šios ligos persiduos sergančiųjų vaikams, anūkams. Dažniausiai pasitaikančios endokrininės ligos yra skydliaukės uždegimas (</w:t>
      </w:r>
      <w:proofErr w:type="spellStart"/>
      <w:r>
        <w:rPr>
          <w:rFonts w:ascii="Times New Roman" w:hAnsi="Times New Roman" w:cs="Times New Roman"/>
          <w:sz w:val="24"/>
          <w:szCs w:val="24"/>
        </w:rPr>
        <w:t>tiroiditas</w:t>
      </w:r>
      <w:proofErr w:type="spellEnd"/>
      <w:r>
        <w:rPr>
          <w:rFonts w:ascii="Times New Roman" w:hAnsi="Times New Roman" w:cs="Times New Roman"/>
          <w:sz w:val="24"/>
          <w:szCs w:val="24"/>
        </w:rPr>
        <w:t xml:space="preserve">), cukrinis diabetas (1 tipo, rečiau 2 tipo), nutukimas, augimo sutrikimai (per žemas arba per aukštas ūgis), lytinio brendimo sutrikimai ir kt. </w:t>
      </w:r>
    </w:p>
    <w:p w:rsidR="00F93FA9" w:rsidRDefault="00F93FA9" w:rsidP="00C7600A">
      <w:pPr>
        <w:ind w:firstLine="1134"/>
        <w:rPr>
          <w:rFonts w:ascii="Times New Roman" w:hAnsi="Times New Roman" w:cs="Times New Roman"/>
          <w:sz w:val="24"/>
          <w:szCs w:val="24"/>
        </w:rPr>
      </w:pPr>
      <w:r>
        <w:rPr>
          <w:rFonts w:ascii="Times New Roman" w:hAnsi="Times New Roman" w:cs="Times New Roman"/>
          <w:sz w:val="24"/>
          <w:szCs w:val="24"/>
        </w:rPr>
        <w:t>2010 – 2014 m. pastebimas endokrininės sistemos sutrikimų turinčių moksleivių skaičiaus didėjimas. Profilaktinių moksleivių sveikatos patikrinimų duomenimis, 2014 m. 5,6 proc. moksleivių turėjo endokrininės sistemos sutrikimų (17 pav.)</w:t>
      </w:r>
    </w:p>
    <w:p w:rsidR="00F93FA9" w:rsidRDefault="00F93FA9" w:rsidP="002929FE">
      <w:pPr>
        <w:rPr>
          <w:rFonts w:ascii="Times New Roman" w:hAnsi="Times New Roman" w:cs="Times New Roman"/>
          <w:sz w:val="24"/>
          <w:szCs w:val="24"/>
        </w:rPr>
      </w:pPr>
    </w:p>
    <w:p w:rsidR="00F93FA9" w:rsidRDefault="00F93FA9" w:rsidP="00C7600A">
      <w:pPr>
        <w:spacing w:line="240" w:lineRule="auto"/>
        <w:rPr>
          <w:rFonts w:ascii="Times New Roman" w:hAnsi="Times New Roman" w:cs="Times New Roman"/>
          <w:sz w:val="24"/>
          <w:szCs w:val="24"/>
        </w:rPr>
      </w:pPr>
      <w:r>
        <w:rPr>
          <w:noProof/>
          <w:lang w:eastAsia="lt-LT"/>
        </w:rPr>
        <w:lastRenderedPageBreak/>
        <w:drawing>
          <wp:inline distT="0" distB="0" distL="0" distR="0" wp14:anchorId="05250D32" wp14:editId="076BD306">
            <wp:extent cx="5133975" cy="2533650"/>
            <wp:effectExtent l="0" t="0" r="0"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3FA9" w:rsidRDefault="00F93FA9" w:rsidP="00C760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31C3F">
        <w:rPr>
          <w:rFonts w:ascii="Times New Roman" w:hAnsi="Times New Roman" w:cs="Times New Roman"/>
          <w:b/>
          <w:sz w:val="24"/>
          <w:szCs w:val="24"/>
        </w:rPr>
        <w:t>7</w:t>
      </w:r>
      <w:r>
        <w:rPr>
          <w:rFonts w:ascii="Times New Roman" w:hAnsi="Times New Roman" w:cs="Times New Roman"/>
          <w:b/>
          <w:sz w:val="24"/>
          <w:szCs w:val="24"/>
        </w:rPr>
        <w:t xml:space="preserve"> </w:t>
      </w:r>
      <w:r w:rsidRPr="00A10ACF">
        <w:rPr>
          <w:rFonts w:ascii="Times New Roman" w:hAnsi="Times New Roman" w:cs="Times New Roman"/>
          <w:b/>
          <w:sz w:val="24"/>
          <w:szCs w:val="24"/>
        </w:rPr>
        <w:t xml:space="preserve">pav. </w:t>
      </w:r>
      <w:r>
        <w:rPr>
          <w:rFonts w:ascii="Times New Roman" w:hAnsi="Times New Roman" w:cs="Times New Roman"/>
          <w:b/>
          <w:sz w:val="24"/>
          <w:szCs w:val="24"/>
        </w:rPr>
        <w:t>Endokrininės</w:t>
      </w:r>
      <w:r w:rsidRPr="00A10ACF">
        <w:rPr>
          <w:rFonts w:ascii="Times New Roman" w:hAnsi="Times New Roman" w:cs="Times New Roman"/>
          <w:b/>
          <w:sz w:val="24"/>
          <w:szCs w:val="24"/>
        </w:rPr>
        <w:t xml:space="preserve"> sistemos sutrikimų turinčių Kauno miesto moksleivių proc., 2010-2014 m.</w:t>
      </w:r>
    </w:p>
    <w:p w:rsidR="00F93FA9" w:rsidRDefault="00F93FA9" w:rsidP="002929FE">
      <w:pPr>
        <w:rPr>
          <w:rFonts w:ascii="Times New Roman" w:hAnsi="Times New Roman" w:cs="Times New Roman"/>
          <w:sz w:val="24"/>
          <w:szCs w:val="24"/>
        </w:rPr>
      </w:pPr>
    </w:p>
    <w:p w:rsidR="002134FB" w:rsidRPr="002134FB" w:rsidRDefault="002134FB" w:rsidP="00C7600A">
      <w:pPr>
        <w:ind w:firstLine="1134"/>
        <w:rPr>
          <w:rFonts w:ascii="Times New Roman" w:hAnsi="Times New Roman" w:cs="Times New Roman"/>
          <w:sz w:val="24"/>
          <w:szCs w:val="24"/>
        </w:rPr>
      </w:pPr>
      <w:r w:rsidRPr="002134FB">
        <w:rPr>
          <w:rFonts w:ascii="Times New Roman" w:hAnsi="Times New Roman" w:cs="Times New Roman"/>
          <w:sz w:val="24"/>
          <w:szCs w:val="24"/>
        </w:rPr>
        <w:t xml:space="preserve">Analizuojant mokinių sergamumą pagal klases (amžių), nustatyta, kad daugiausiai endokrininių sutrikimų </w:t>
      </w:r>
      <w:r>
        <w:rPr>
          <w:rFonts w:ascii="Times New Roman" w:hAnsi="Times New Roman" w:cs="Times New Roman"/>
          <w:sz w:val="24"/>
          <w:szCs w:val="24"/>
        </w:rPr>
        <w:t>turi aštuntų klasių mokiniai</w:t>
      </w:r>
      <w:r w:rsidRPr="002134FB">
        <w:rPr>
          <w:rFonts w:ascii="Times New Roman" w:hAnsi="Times New Roman" w:cs="Times New Roman"/>
          <w:sz w:val="24"/>
          <w:szCs w:val="24"/>
        </w:rPr>
        <w:t>, k</w:t>
      </w:r>
      <w:r>
        <w:rPr>
          <w:rFonts w:ascii="Times New Roman" w:hAnsi="Times New Roman" w:cs="Times New Roman"/>
          <w:sz w:val="24"/>
          <w:szCs w:val="24"/>
        </w:rPr>
        <w:t>uomet</w:t>
      </w:r>
      <w:r w:rsidRPr="002134FB">
        <w:rPr>
          <w:rFonts w:ascii="Times New Roman" w:hAnsi="Times New Roman" w:cs="Times New Roman"/>
          <w:sz w:val="24"/>
          <w:szCs w:val="24"/>
        </w:rPr>
        <w:t xml:space="preserve"> prasideda ryškus lytinis brendimas</w:t>
      </w:r>
      <w:r>
        <w:rPr>
          <w:rFonts w:ascii="Times New Roman" w:hAnsi="Times New Roman" w:cs="Times New Roman"/>
          <w:sz w:val="24"/>
          <w:szCs w:val="24"/>
        </w:rPr>
        <w:t xml:space="preserve">. Vyresniame amžiuje endokrininės sistemos sutrikimų mažėja, tačiau jų turinčių mokinių procentas vis tiek išlieka didesnis, nei pradinių klasių mokinių (18 pav.). </w:t>
      </w:r>
    </w:p>
    <w:p w:rsidR="00C6229B" w:rsidRDefault="00231C3F" w:rsidP="00C7600A">
      <w:pPr>
        <w:spacing w:line="240" w:lineRule="auto"/>
        <w:rPr>
          <w:rFonts w:ascii="Times New Roman" w:hAnsi="Times New Roman" w:cs="Times New Roman"/>
          <w:sz w:val="24"/>
          <w:szCs w:val="24"/>
        </w:rPr>
      </w:pPr>
      <w:r>
        <w:rPr>
          <w:noProof/>
          <w:lang w:eastAsia="lt-LT"/>
        </w:rPr>
        <w:drawing>
          <wp:inline distT="0" distB="0" distL="0" distR="0" wp14:anchorId="44C27831" wp14:editId="087F44F4">
            <wp:extent cx="4743450" cy="2800350"/>
            <wp:effectExtent l="0" t="0" r="0"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1C3F" w:rsidRPr="00C7600A" w:rsidRDefault="00231C3F" w:rsidP="00C7600A">
      <w:pPr>
        <w:spacing w:line="240" w:lineRule="auto"/>
        <w:jc w:val="center"/>
        <w:rPr>
          <w:rFonts w:ascii="Times New Roman" w:hAnsi="Times New Roman" w:cs="Times New Roman"/>
          <w:b/>
          <w:bCs/>
          <w:sz w:val="24"/>
          <w:szCs w:val="24"/>
        </w:rPr>
      </w:pPr>
      <w:r w:rsidRPr="00C7600A">
        <w:rPr>
          <w:rFonts w:ascii="Times New Roman" w:hAnsi="Times New Roman" w:cs="Times New Roman"/>
          <w:b/>
          <w:bCs/>
          <w:sz w:val="24"/>
          <w:szCs w:val="24"/>
        </w:rPr>
        <w:t xml:space="preserve">18 pav. Užregistruoti </w:t>
      </w:r>
      <w:r w:rsidR="002134FB" w:rsidRPr="00C7600A">
        <w:rPr>
          <w:rFonts w:ascii="Times New Roman" w:hAnsi="Times New Roman" w:cs="Times New Roman"/>
          <w:b/>
          <w:bCs/>
          <w:sz w:val="24"/>
          <w:szCs w:val="24"/>
        </w:rPr>
        <w:t>endokrininės</w:t>
      </w:r>
      <w:r w:rsidRPr="00C7600A">
        <w:rPr>
          <w:rFonts w:ascii="Times New Roman" w:hAnsi="Times New Roman" w:cs="Times New Roman"/>
          <w:b/>
          <w:bCs/>
          <w:sz w:val="24"/>
          <w:szCs w:val="24"/>
        </w:rPr>
        <w:t xml:space="preserve"> sistemos sutrikimai pagal klases (amžių), proc., 2014 m.</w:t>
      </w:r>
    </w:p>
    <w:p w:rsidR="00231C3F" w:rsidRPr="00C7600A" w:rsidRDefault="00231C3F" w:rsidP="00C7600A">
      <w:pPr>
        <w:spacing w:line="240" w:lineRule="auto"/>
        <w:jc w:val="center"/>
        <w:rPr>
          <w:rFonts w:ascii="Times New Roman" w:hAnsi="Times New Roman" w:cs="Times New Roman"/>
          <w:sz w:val="24"/>
          <w:szCs w:val="24"/>
        </w:rPr>
      </w:pPr>
    </w:p>
    <w:p w:rsidR="00C6229B" w:rsidRDefault="00C6229B" w:rsidP="002929FE">
      <w:pPr>
        <w:rPr>
          <w:rFonts w:ascii="Times New Roman" w:hAnsi="Times New Roman" w:cs="Times New Roman"/>
          <w:sz w:val="24"/>
          <w:szCs w:val="24"/>
        </w:rPr>
      </w:pPr>
    </w:p>
    <w:p w:rsidR="00C6229B" w:rsidRPr="00961BA0" w:rsidRDefault="00961BA0" w:rsidP="002929FE">
      <w:pPr>
        <w:rPr>
          <w:rFonts w:ascii="Times New Roman" w:hAnsi="Times New Roman" w:cs="Times New Roman"/>
          <w:b/>
          <w:i/>
          <w:sz w:val="24"/>
          <w:szCs w:val="24"/>
        </w:rPr>
      </w:pPr>
      <w:r w:rsidRPr="00961BA0">
        <w:rPr>
          <w:rFonts w:ascii="Times New Roman" w:hAnsi="Times New Roman" w:cs="Times New Roman"/>
          <w:b/>
          <w:i/>
          <w:sz w:val="24"/>
          <w:szCs w:val="24"/>
        </w:rPr>
        <w:t>KMI ir fizinio ugdymo grupės</w:t>
      </w:r>
    </w:p>
    <w:p w:rsidR="00C6229B" w:rsidRDefault="00C6229B" w:rsidP="002929FE">
      <w:pPr>
        <w:rPr>
          <w:rFonts w:ascii="Times New Roman" w:hAnsi="Times New Roman" w:cs="Times New Roman"/>
          <w:sz w:val="24"/>
          <w:szCs w:val="24"/>
        </w:rPr>
      </w:pPr>
    </w:p>
    <w:p w:rsidR="00961BA0" w:rsidRDefault="00961BA0" w:rsidP="00C7600A">
      <w:pPr>
        <w:ind w:firstLine="1134"/>
        <w:rPr>
          <w:rFonts w:ascii="Times New Roman" w:hAnsi="Times New Roman" w:cs="Times New Roman"/>
          <w:sz w:val="24"/>
          <w:szCs w:val="24"/>
        </w:rPr>
      </w:pPr>
      <w:r w:rsidRPr="00961BA0">
        <w:rPr>
          <w:rFonts w:ascii="Times New Roman" w:hAnsi="Times New Roman" w:cs="Times New Roman"/>
          <w:sz w:val="24"/>
          <w:szCs w:val="24"/>
        </w:rPr>
        <w:t>Problemos, susijusios su sumažėjusiu ar padidėjusiu kūno masės indeksu, galimos dėl netinkamos mitybos, fizinio aktyvumo stokos, hormonų sutrikimų ir kt.</w:t>
      </w:r>
      <w:r>
        <w:rPr>
          <w:rFonts w:ascii="Times New Roman" w:hAnsi="Times New Roman" w:cs="Times New Roman"/>
          <w:sz w:val="24"/>
          <w:szCs w:val="24"/>
        </w:rPr>
        <w:t xml:space="preserve"> </w:t>
      </w:r>
    </w:p>
    <w:p w:rsidR="00983B90" w:rsidRPr="00983B90" w:rsidRDefault="00427A28" w:rsidP="00C7600A">
      <w:pPr>
        <w:ind w:firstLine="1134"/>
        <w:rPr>
          <w:rFonts w:ascii="Times New Roman" w:hAnsi="Times New Roman" w:cs="Times New Roman"/>
          <w:sz w:val="24"/>
          <w:szCs w:val="24"/>
        </w:rPr>
      </w:pPr>
      <w:r>
        <w:rPr>
          <w:rFonts w:ascii="Times New Roman" w:hAnsi="Times New Roman" w:cs="Times New Roman"/>
          <w:sz w:val="24"/>
          <w:szCs w:val="24"/>
        </w:rPr>
        <w:lastRenderedPageBreak/>
        <w:t xml:space="preserve">2014 </w:t>
      </w:r>
      <w:r w:rsidR="00983B90" w:rsidRPr="00983B90">
        <w:rPr>
          <w:rFonts w:ascii="Times New Roman" w:hAnsi="Times New Roman" w:cs="Times New Roman"/>
          <w:sz w:val="24"/>
          <w:szCs w:val="24"/>
        </w:rPr>
        <w:t xml:space="preserve">m. </w:t>
      </w:r>
      <w:r>
        <w:rPr>
          <w:rFonts w:ascii="Times New Roman" w:hAnsi="Times New Roman" w:cs="Times New Roman"/>
          <w:sz w:val="24"/>
          <w:szCs w:val="24"/>
        </w:rPr>
        <w:t>4,3</w:t>
      </w:r>
      <w:r w:rsidR="00983B90" w:rsidRPr="00983B90">
        <w:rPr>
          <w:rFonts w:ascii="Times New Roman" w:hAnsi="Times New Roman" w:cs="Times New Roman"/>
          <w:sz w:val="24"/>
          <w:szCs w:val="24"/>
        </w:rPr>
        <w:t xml:space="preserve"> proc. profilaktiškai sveikatą pasitikrinusių </w:t>
      </w:r>
      <w:r>
        <w:rPr>
          <w:rFonts w:ascii="Times New Roman" w:hAnsi="Times New Roman" w:cs="Times New Roman"/>
          <w:sz w:val="24"/>
          <w:szCs w:val="24"/>
        </w:rPr>
        <w:t xml:space="preserve">Kauno miesto </w:t>
      </w:r>
      <w:r w:rsidR="00983B90" w:rsidRPr="00983B90">
        <w:rPr>
          <w:rFonts w:ascii="Times New Roman" w:hAnsi="Times New Roman" w:cs="Times New Roman"/>
          <w:sz w:val="24"/>
          <w:szCs w:val="24"/>
        </w:rPr>
        <w:t xml:space="preserve">mokinių turėjo per mažą kūno masę (pagal kūno masės indeksą (KMI)), </w:t>
      </w:r>
      <w:r>
        <w:rPr>
          <w:rFonts w:ascii="Times New Roman" w:hAnsi="Times New Roman" w:cs="Times New Roman"/>
          <w:sz w:val="24"/>
          <w:szCs w:val="24"/>
        </w:rPr>
        <w:t>5,3</w:t>
      </w:r>
      <w:r w:rsidR="00983B90" w:rsidRPr="00983B90">
        <w:rPr>
          <w:rFonts w:ascii="Times New Roman" w:hAnsi="Times New Roman" w:cs="Times New Roman"/>
          <w:sz w:val="24"/>
          <w:szCs w:val="24"/>
        </w:rPr>
        <w:t xml:space="preserve"> proc. - padidėjusią, </w:t>
      </w:r>
      <w:r>
        <w:rPr>
          <w:rFonts w:ascii="Times New Roman" w:hAnsi="Times New Roman" w:cs="Times New Roman"/>
          <w:sz w:val="24"/>
          <w:szCs w:val="24"/>
        </w:rPr>
        <w:t>3</w:t>
      </w:r>
      <w:r w:rsidR="00983B90" w:rsidRPr="00983B90">
        <w:rPr>
          <w:rFonts w:ascii="Times New Roman" w:hAnsi="Times New Roman" w:cs="Times New Roman"/>
          <w:sz w:val="24"/>
          <w:szCs w:val="24"/>
        </w:rPr>
        <w:t>,</w:t>
      </w:r>
      <w:r>
        <w:rPr>
          <w:rFonts w:ascii="Times New Roman" w:hAnsi="Times New Roman" w:cs="Times New Roman"/>
          <w:sz w:val="24"/>
          <w:szCs w:val="24"/>
        </w:rPr>
        <w:t>5</w:t>
      </w:r>
      <w:r w:rsidR="00983B90" w:rsidRPr="00983B90">
        <w:rPr>
          <w:rFonts w:ascii="Times New Roman" w:hAnsi="Times New Roman" w:cs="Times New Roman"/>
          <w:sz w:val="24"/>
          <w:szCs w:val="24"/>
        </w:rPr>
        <w:t xml:space="preserve"> proc. mokinių buvo nustatytas nutukimas, o </w:t>
      </w:r>
      <w:r>
        <w:rPr>
          <w:rFonts w:ascii="Times New Roman" w:hAnsi="Times New Roman" w:cs="Times New Roman"/>
          <w:sz w:val="24"/>
          <w:szCs w:val="24"/>
        </w:rPr>
        <w:t>86</w:t>
      </w:r>
      <w:r w:rsidR="00983B90" w:rsidRPr="00983B90">
        <w:rPr>
          <w:rFonts w:ascii="Times New Roman" w:hAnsi="Times New Roman" w:cs="Times New Roman"/>
          <w:sz w:val="24"/>
          <w:szCs w:val="24"/>
        </w:rPr>
        <w:t>,</w:t>
      </w:r>
      <w:r>
        <w:rPr>
          <w:rFonts w:ascii="Times New Roman" w:hAnsi="Times New Roman" w:cs="Times New Roman"/>
          <w:sz w:val="24"/>
          <w:szCs w:val="24"/>
        </w:rPr>
        <w:t>9</w:t>
      </w:r>
      <w:r w:rsidR="00983B90" w:rsidRPr="00983B90">
        <w:rPr>
          <w:rFonts w:ascii="Times New Roman" w:hAnsi="Times New Roman" w:cs="Times New Roman"/>
          <w:sz w:val="24"/>
          <w:szCs w:val="24"/>
        </w:rPr>
        <w:t xml:space="preserve"> proc. mokinių turėjo normalią kūno masę (</w:t>
      </w:r>
      <w:r>
        <w:rPr>
          <w:rFonts w:ascii="Times New Roman" w:hAnsi="Times New Roman" w:cs="Times New Roman"/>
          <w:sz w:val="24"/>
          <w:szCs w:val="24"/>
        </w:rPr>
        <w:t>19</w:t>
      </w:r>
      <w:r w:rsidR="00983B90" w:rsidRPr="00983B90">
        <w:rPr>
          <w:rFonts w:ascii="Times New Roman" w:hAnsi="Times New Roman" w:cs="Times New Roman"/>
          <w:sz w:val="24"/>
          <w:szCs w:val="24"/>
        </w:rPr>
        <w:t xml:space="preserve"> pav.).</w:t>
      </w:r>
    </w:p>
    <w:p w:rsidR="00C6229B" w:rsidRPr="00983B90" w:rsidRDefault="00C6229B" w:rsidP="002929FE">
      <w:pPr>
        <w:rPr>
          <w:rFonts w:ascii="Times New Roman" w:hAnsi="Times New Roman" w:cs="Times New Roman"/>
          <w:sz w:val="24"/>
          <w:szCs w:val="24"/>
        </w:rPr>
      </w:pPr>
    </w:p>
    <w:p w:rsidR="00C6229B" w:rsidRPr="00961BA0" w:rsidRDefault="00427A28" w:rsidP="00C7600A">
      <w:pPr>
        <w:spacing w:line="240" w:lineRule="auto"/>
        <w:rPr>
          <w:rFonts w:ascii="Times New Roman" w:hAnsi="Times New Roman" w:cs="Times New Roman"/>
          <w:sz w:val="24"/>
          <w:szCs w:val="24"/>
        </w:rPr>
      </w:pPr>
      <w:r>
        <w:rPr>
          <w:noProof/>
          <w:lang w:eastAsia="lt-LT"/>
        </w:rPr>
        <w:drawing>
          <wp:inline distT="0" distB="0" distL="0" distR="0" wp14:anchorId="233D97CB" wp14:editId="326032A2">
            <wp:extent cx="4857750" cy="2257425"/>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229B" w:rsidRDefault="00427A28" w:rsidP="00C7600A">
      <w:pPr>
        <w:spacing w:line="240" w:lineRule="auto"/>
        <w:jc w:val="center"/>
        <w:rPr>
          <w:rFonts w:ascii="Times New Roman" w:hAnsi="Times New Roman" w:cs="Times New Roman"/>
          <w:b/>
          <w:bCs/>
          <w:sz w:val="24"/>
          <w:szCs w:val="24"/>
        </w:rPr>
      </w:pPr>
      <w:r w:rsidRPr="00427A28">
        <w:rPr>
          <w:rFonts w:ascii="Times New Roman" w:hAnsi="Times New Roman" w:cs="Times New Roman"/>
          <w:b/>
          <w:bCs/>
          <w:sz w:val="24"/>
          <w:szCs w:val="24"/>
        </w:rPr>
        <w:t>19 pav. Profilaktiškai pasitikrinę mokiniai pagal kūno masę, proc.</w:t>
      </w:r>
    </w:p>
    <w:p w:rsidR="00E8050F" w:rsidRDefault="00E8050F" w:rsidP="002929FE">
      <w:pPr>
        <w:rPr>
          <w:rFonts w:ascii="Times New Roman" w:hAnsi="Times New Roman" w:cs="Times New Roman"/>
          <w:b/>
          <w:bCs/>
          <w:sz w:val="24"/>
          <w:szCs w:val="24"/>
        </w:rPr>
      </w:pPr>
    </w:p>
    <w:p w:rsidR="00427A28" w:rsidRDefault="00E8050F" w:rsidP="00C7600A">
      <w:pPr>
        <w:ind w:firstLine="1134"/>
        <w:rPr>
          <w:rFonts w:ascii="Times New Roman" w:hAnsi="Times New Roman" w:cs="Times New Roman"/>
          <w:b/>
          <w:bCs/>
          <w:sz w:val="24"/>
          <w:szCs w:val="24"/>
        </w:rPr>
      </w:pPr>
      <w:r w:rsidRPr="00E8050F">
        <w:rPr>
          <w:rFonts w:ascii="Times New Roman" w:hAnsi="Times New Roman" w:cs="Times New Roman"/>
          <w:sz w:val="24"/>
          <w:szCs w:val="24"/>
        </w:rPr>
        <w:t xml:space="preserve">Analizuojant KMI pagal klases (amžių), nustatyta, kad </w:t>
      </w:r>
      <w:r>
        <w:rPr>
          <w:rFonts w:ascii="Times New Roman" w:hAnsi="Times New Roman" w:cs="Times New Roman"/>
          <w:sz w:val="24"/>
          <w:szCs w:val="24"/>
        </w:rPr>
        <w:t>vyresniųjų</w:t>
      </w:r>
      <w:r w:rsidRPr="00E8050F">
        <w:rPr>
          <w:rFonts w:ascii="Times New Roman" w:hAnsi="Times New Roman" w:cs="Times New Roman"/>
          <w:sz w:val="24"/>
          <w:szCs w:val="24"/>
        </w:rPr>
        <w:t xml:space="preserve"> klasių</w:t>
      </w:r>
      <w:r>
        <w:rPr>
          <w:rFonts w:ascii="Times New Roman" w:hAnsi="Times New Roman" w:cs="Times New Roman"/>
          <w:sz w:val="24"/>
          <w:szCs w:val="24"/>
        </w:rPr>
        <w:t xml:space="preserve"> (11 – 12 klasių)</w:t>
      </w:r>
      <w:r w:rsidRPr="00E8050F">
        <w:rPr>
          <w:rFonts w:ascii="Times New Roman" w:hAnsi="Times New Roman" w:cs="Times New Roman"/>
          <w:sz w:val="24"/>
          <w:szCs w:val="24"/>
        </w:rPr>
        <w:t xml:space="preserve"> </w:t>
      </w:r>
      <w:r>
        <w:rPr>
          <w:rFonts w:ascii="Times New Roman" w:hAnsi="Times New Roman" w:cs="Times New Roman"/>
          <w:sz w:val="24"/>
          <w:szCs w:val="24"/>
        </w:rPr>
        <w:t xml:space="preserve">mokiniai turėjo </w:t>
      </w:r>
      <w:r w:rsidRPr="00E8050F">
        <w:rPr>
          <w:rFonts w:ascii="Times New Roman" w:hAnsi="Times New Roman" w:cs="Times New Roman"/>
          <w:sz w:val="24"/>
          <w:szCs w:val="24"/>
        </w:rPr>
        <w:t>daugiausiai p</w:t>
      </w:r>
      <w:r>
        <w:rPr>
          <w:rFonts w:ascii="Times New Roman" w:hAnsi="Times New Roman" w:cs="Times New Roman"/>
          <w:sz w:val="24"/>
          <w:szCs w:val="24"/>
        </w:rPr>
        <w:t xml:space="preserve">roblemų, susijusių su kūno mase – vidutiniškai tik 79 proc. šių klasių moksleivių kūno masės indeksas buvo normalus. Tai reiškia, kad maždaug kas penktas vyresnių klasių mokinys turėjo per mažą arba per didelį svorį (20 pav.). </w:t>
      </w:r>
    </w:p>
    <w:p w:rsidR="00427A28" w:rsidRDefault="00E8050F" w:rsidP="00C7600A">
      <w:pPr>
        <w:spacing w:line="240" w:lineRule="auto"/>
        <w:rPr>
          <w:rFonts w:ascii="Times New Roman" w:hAnsi="Times New Roman" w:cs="Times New Roman"/>
          <w:sz w:val="24"/>
          <w:szCs w:val="24"/>
        </w:rPr>
      </w:pPr>
      <w:r>
        <w:rPr>
          <w:noProof/>
          <w:lang w:eastAsia="lt-LT"/>
        </w:rPr>
        <w:drawing>
          <wp:inline distT="0" distB="0" distL="0" distR="0" wp14:anchorId="7E3CD318" wp14:editId="59E2ABCF">
            <wp:extent cx="4943475" cy="2962275"/>
            <wp:effectExtent l="0" t="0" r="0"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050F" w:rsidRDefault="00E8050F" w:rsidP="00C7600A">
      <w:pPr>
        <w:spacing w:line="240" w:lineRule="auto"/>
        <w:jc w:val="center"/>
        <w:rPr>
          <w:rFonts w:ascii="Times New Roman" w:hAnsi="Times New Roman" w:cs="Times New Roman"/>
          <w:b/>
          <w:bCs/>
          <w:sz w:val="24"/>
          <w:szCs w:val="24"/>
        </w:rPr>
      </w:pPr>
      <w:r w:rsidRPr="00E8050F">
        <w:rPr>
          <w:rFonts w:ascii="Times New Roman" w:hAnsi="Times New Roman" w:cs="Times New Roman"/>
          <w:b/>
          <w:bCs/>
          <w:sz w:val="24"/>
          <w:szCs w:val="24"/>
        </w:rPr>
        <w:t>20 pav. Mokinių, su normaliu KMI procentas pagal klases (amžių), 2014 m.</w:t>
      </w:r>
    </w:p>
    <w:p w:rsidR="00E8050F" w:rsidRDefault="00E8050F" w:rsidP="00C7600A">
      <w:pPr>
        <w:spacing w:line="240" w:lineRule="auto"/>
        <w:jc w:val="center"/>
        <w:rPr>
          <w:rFonts w:ascii="Times New Roman" w:hAnsi="Times New Roman" w:cs="Times New Roman"/>
          <w:b/>
          <w:bCs/>
          <w:sz w:val="24"/>
          <w:szCs w:val="24"/>
        </w:rPr>
      </w:pPr>
    </w:p>
    <w:p w:rsidR="00E8050F" w:rsidRDefault="00E8050F" w:rsidP="002929FE">
      <w:pPr>
        <w:rPr>
          <w:rFonts w:ascii="Times New Roman" w:hAnsi="Times New Roman" w:cs="Times New Roman"/>
          <w:b/>
          <w:bCs/>
          <w:sz w:val="24"/>
          <w:szCs w:val="24"/>
        </w:rPr>
      </w:pPr>
    </w:p>
    <w:p w:rsidR="00E8050F" w:rsidRPr="00E8050F" w:rsidRDefault="00E8050F" w:rsidP="00C7600A">
      <w:pPr>
        <w:autoSpaceDE w:val="0"/>
        <w:autoSpaceDN w:val="0"/>
        <w:adjustRightInd w:val="0"/>
        <w:ind w:firstLine="1134"/>
        <w:rPr>
          <w:rFonts w:ascii="Times New Roman" w:hAnsi="Times New Roman" w:cs="Times New Roman"/>
          <w:color w:val="000000"/>
          <w:sz w:val="24"/>
          <w:szCs w:val="24"/>
        </w:rPr>
      </w:pPr>
      <w:r w:rsidRPr="00E8050F">
        <w:rPr>
          <w:rFonts w:ascii="Times New Roman" w:hAnsi="Times New Roman" w:cs="Times New Roman"/>
          <w:color w:val="000000"/>
          <w:sz w:val="24"/>
          <w:szCs w:val="24"/>
        </w:rPr>
        <w:t xml:space="preserve">Pagrindinės fizinio ugdymo organizavimo mokyklose priemonės yra </w:t>
      </w:r>
      <w:r w:rsidR="008810B6">
        <w:rPr>
          <w:rFonts w:ascii="Times New Roman" w:hAnsi="Times New Roman" w:cs="Times New Roman"/>
          <w:color w:val="000000"/>
          <w:sz w:val="24"/>
          <w:szCs w:val="24"/>
        </w:rPr>
        <w:t>fizinio lavinimo</w:t>
      </w:r>
      <w:r w:rsidRPr="00E8050F">
        <w:rPr>
          <w:rFonts w:ascii="Times New Roman" w:hAnsi="Times New Roman" w:cs="Times New Roman"/>
          <w:color w:val="000000"/>
          <w:sz w:val="24"/>
          <w:szCs w:val="24"/>
        </w:rPr>
        <w:t xml:space="preserve"> pamokos bei sportinė veikla</w:t>
      </w:r>
      <w:r w:rsidR="008810B6">
        <w:rPr>
          <w:rFonts w:ascii="Times New Roman" w:hAnsi="Times New Roman" w:cs="Times New Roman"/>
          <w:color w:val="000000"/>
          <w:sz w:val="24"/>
          <w:szCs w:val="24"/>
        </w:rPr>
        <w:t>, organizuojama po pamokų</w:t>
      </w:r>
      <w:r w:rsidRPr="00E8050F">
        <w:rPr>
          <w:rFonts w:ascii="Times New Roman" w:hAnsi="Times New Roman" w:cs="Times New Roman"/>
          <w:color w:val="000000"/>
          <w:sz w:val="24"/>
          <w:szCs w:val="24"/>
        </w:rPr>
        <w:t xml:space="preserve"> (sporto būreliai, sporto renginiai ir pan.). </w:t>
      </w:r>
      <w:r w:rsidR="008810B6">
        <w:rPr>
          <w:rFonts w:ascii="Times New Roman" w:hAnsi="Times New Roman" w:cs="Times New Roman"/>
          <w:color w:val="000000"/>
          <w:sz w:val="24"/>
          <w:szCs w:val="24"/>
        </w:rPr>
        <w:lastRenderedPageBreak/>
        <w:t>Fizinio lavinimo</w:t>
      </w:r>
      <w:r w:rsidRPr="00E8050F">
        <w:rPr>
          <w:rFonts w:ascii="Times New Roman" w:hAnsi="Times New Roman" w:cs="Times New Roman"/>
          <w:color w:val="000000"/>
          <w:sz w:val="24"/>
          <w:szCs w:val="24"/>
        </w:rPr>
        <w:t xml:space="preserve"> pamokos</w:t>
      </w:r>
      <w:r w:rsidR="008810B6">
        <w:rPr>
          <w:rFonts w:ascii="Times New Roman" w:hAnsi="Times New Roman" w:cs="Times New Roman"/>
          <w:color w:val="000000"/>
          <w:sz w:val="24"/>
          <w:szCs w:val="24"/>
        </w:rPr>
        <w:t xml:space="preserve"> yra</w:t>
      </w:r>
      <w:r w:rsidRPr="00E8050F">
        <w:rPr>
          <w:rFonts w:ascii="Times New Roman" w:hAnsi="Times New Roman" w:cs="Times New Roman"/>
          <w:color w:val="000000"/>
          <w:sz w:val="24"/>
          <w:szCs w:val="24"/>
        </w:rPr>
        <w:t xml:space="preserve"> privalomos visiems sveikiems mokiniams. Daugumą vaikų, </w:t>
      </w:r>
      <w:r w:rsidR="008810B6">
        <w:rPr>
          <w:rFonts w:ascii="Times New Roman" w:hAnsi="Times New Roman" w:cs="Times New Roman"/>
          <w:color w:val="000000"/>
          <w:sz w:val="24"/>
          <w:szCs w:val="24"/>
        </w:rPr>
        <w:t>turinčių vienokį ar kitokį sveikatos sutrikimą</w:t>
      </w:r>
      <w:r w:rsidRPr="00E8050F">
        <w:rPr>
          <w:rFonts w:ascii="Times New Roman" w:hAnsi="Times New Roman" w:cs="Times New Roman"/>
          <w:color w:val="000000"/>
          <w:sz w:val="24"/>
          <w:szCs w:val="24"/>
        </w:rPr>
        <w:t xml:space="preserve">, gydytojai nuo </w:t>
      </w:r>
      <w:r w:rsidR="008810B6">
        <w:rPr>
          <w:rFonts w:ascii="Times New Roman" w:hAnsi="Times New Roman" w:cs="Times New Roman"/>
          <w:color w:val="000000"/>
          <w:sz w:val="24"/>
          <w:szCs w:val="24"/>
        </w:rPr>
        <w:t>fizinio lavinimo pamokų atleidžia. Vis dėlto</w:t>
      </w:r>
      <w:r w:rsidRPr="00E8050F">
        <w:rPr>
          <w:rFonts w:ascii="Times New Roman" w:hAnsi="Times New Roman" w:cs="Times New Roman"/>
          <w:color w:val="000000"/>
          <w:sz w:val="24"/>
          <w:szCs w:val="24"/>
        </w:rPr>
        <w:t xml:space="preserve"> vaikams, kurių sveikata silpnesnė, dažnai labiau negu sveikiesiems reikalinga jų sveikatos lygį atitinkanti kūno kultūra. </w:t>
      </w:r>
    </w:p>
    <w:p w:rsidR="00E8050F" w:rsidRDefault="00E8050F" w:rsidP="00C7600A">
      <w:pPr>
        <w:ind w:firstLine="1134"/>
        <w:rPr>
          <w:rFonts w:ascii="Times New Roman" w:hAnsi="Times New Roman" w:cs="Times New Roman"/>
          <w:color w:val="000000"/>
          <w:sz w:val="24"/>
          <w:szCs w:val="24"/>
        </w:rPr>
      </w:pPr>
      <w:r w:rsidRPr="00E8050F">
        <w:rPr>
          <w:rFonts w:ascii="Times New Roman" w:hAnsi="Times New Roman" w:cs="Times New Roman"/>
          <w:color w:val="000000"/>
          <w:sz w:val="24"/>
          <w:szCs w:val="24"/>
        </w:rPr>
        <w:t>Skiriamos trys fizinio parengimo ugdymo grupės: pagrindinė - šiai grupei priklausantys vaikai yra visiškai sveiki, parengiamoji - moksleiviai turintys nedidelių sveikatos sutrikimų ar neseniai persirgę kokia nors liga</w:t>
      </w:r>
      <w:r w:rsidR="008810B6">
        <w:rPr>
          <w:rFonts w:ascii="Times New Roman" w:hAnsi="Times New Roman" w:cs="Times New Roman"/>
          <w:color w:val="000000"/>
          <w:sz w:val="24"/>
          <w:szCs w:val="24"/>
        </w:rPr>
        <w:t>,</w:t>
      </w:r>
      <w:r w:rsidRPr="00E8050F">
        <w:rPr>
          <w:rFonts w:ascii="Times New Roman" w:hAnsi="Times New Roman" w:cs="Times New Roman"/>
          <w:color w:val="000000"/>
          <w:sz w:val="24"/>
          <w:szCs w:val="24"/>
        </w:rPr>
        <w:t xml:space="preserve"> ir specialioji - mankštinamasi pagal specialią </w:t>
      </w:r>
      <w:r w:rsidR="008810B6">
        <w:rPr>
          <w:rFonts w:ascii="Times New Roman" w:hAnsi="Times New Roman" w:cs="Times New Roman"/>
          <w:color w:val="000000"/>
          <w:sz w:val="24"/>
          <w:szCs w:val="24"/>
        </w:rPr>
        <w:t>fizinio lavinimo</w:t>
      </w:r>
      <w:r w:rsidRPr="00E8050F">
        <w:rPr>
          <w:rFonts w:ascii="Times New Roman" w:hAnsi="Times New Roman" w:cs="Times New Roman"/>
          <w:color w:val="000000"/>
          <w:sz w:val="24"/>
          <w:szCs w:val="24"/>
        </w:rPr>
        <w:t xml:space="preserve"> programą. Moksleiviai nuo fizinio lavinimo pamokų gali būti ir visiškai atleisti.</w:t>
      </w:r>
    </w:p>
    <w:p w:rsidR="008810B6" w:rsidRPr="008810B6" w:rsidRDefault="006E3055" w:rsidP="00C7600A">
      <w:pPr>
        <w:ind w:firstLine="1134"/>
        <w:rPr>
          <w:rFonts w:ascii="Times New Roman" w:hAnsi="Times New Roman" w:cs="Times New Roman"/>
          <w:sz w:val="24"/>
          <w:szCs w:val="24"/>
        </w:rPr>
      </w:pPr>
      <w:r>
        <w:rPr>
          <w:rFonts w:ascii="Times New Roman" w:hAnsi="Times New Roman" w:cs="Times New Roman"/>
          <w:sz w:val="24"/>
          <w:szCs w:val="24"/>
        </w:rPr>
        <w:t>Kauno miesto</w:t>
      </w:r>
      <w:r w:rsidR="008810B6" w:rsidRPr="008810B6">
        <w:rPr>
          <w:rFonts w:ascii="Times New Roman" w:hAnsi="Times New Roman" w:cs="Times New Roman"/>
          <w:sz w:val="24"/>
          <w:szCs w:val="24"/>
        </w:rPr>
        <w:t xml:space="preserve"> bendrojo lavinimo mokyklų mokinių sveikatos būklės analizė parodė, kad pagrindinei kūno kultūros grupei priskiriami </w:t>
      </w:r>
      <w:r w:rsidR="008810B6">
        <w:rPr>
          <w:rFonts w:ascii="Times New Roman" w:hAnsi="Times New Roman" w:cs="Times New Roman"/>
          <w:sz w:val="24"/>
          <w:szCs w:val="24"/>
        </w:rPr>
        <w:t>92,6</w:t>
      </w:r>
      <w:r w:rsidR="008810B6" w:rsidRPr="008810B6">
        <w:rPr>
          <w:rFonts w:ascii="Times New Roman" w:hAnsi="Times New Roman" w:cs="Times New Roman"/>
          <w:sz w:val="24"/>
          <w:szCs w:val="24"/>
        </w:rPr>
        <w:t xml:space="preserve"> proc. mokinių, </w:t>
      </w:r>
      <w:r w:rsidR="00D32AFA">
        <w:rPr>
          <w:rFonts w:ascii="Times New Roman" w:hAnsi="Times New Roman" w:cs="Times New Roman"/>
          <w:sz w:val="24"/>
          <w:szCs w:val="24"/>
        </w:rPr>
        <w:t>5</w:t>
      </w:r>
      <w:r w:rsidR="008810B6" w:rsidRPr="008810B6">
        <w:rPr>
          <w:rFonts w:ascii="Times New Roman" w:hAnsi="Times New Roman" w:cs="Times New Roman"/>
          <w:sz w:val="24"/>
          <w:szCs w:val="24"/>
        </w:rPr>
        <w:t xml:space="preserve"> proc. priskirti parengiamajai grupei, 1</w:t>
      </w:r>
      <w:r w:rsidR="00D32AFA">
        <w:rPr>
          <w:rFonts w:ascii="Times New Roman" w:hAnsi="Times New Roman" w:cs="Times New Roman"/>
          <w:sz w:val="24"/>
          <w:szCs w:val="24"/>
        </w:rPr>
        <w:t>,1</w:t>
      </w:r>
      <w:r w:rsidR="008810B6" w:rsidRPr="008810B6">
        <w:rPr>
          <w:rFonts w:ascii="Times New Roman" w:hAnsi="Times New Roman" w:cs="Times New Roman"/>
          <w:sz w:val="24"/>
          <w:szCs w:val="24"/>
        </w:rPr>
        <w:t xml:space="preserve"> proc. </w:t>
      </w:r>
      <w:r w:rsidR="008810B6" w:rsidRPr="008810B6">
        <w:rPr>
          <w:rFonts w:ascii="Times New Roman" w:hAnsi="Times New Roman" w:cs="Times New Roman"/>
          <w:b/>
          <w:bCs/>
          <w:sz w:val="24"/>
          <w:szCs w:val="24"/>
        </w:rPr>
        <w:t xml:space="preserve">- </w:t>
      </w:r>
      <w:r w:rsidR="008810B6" w:rsidRPr="008810B6">
        <w:rPr>
          <w:rFonts w:ascii="Times New Roman" w:hAnsi="Times New Roman" w:cs="Times New Roman"/>
          <w:sz w:val="24"/>
          <w:szCs w:val="24"/>
        </w:rPr>
        <w:t>specialiajai kūno kultūros grupei. 1,</w:t>
      </w:r>
      <w:r w:rsidR="00D32AFA">
        <w:rPr>
          <w:rFonts w:ascii="Times New Roman" w:hAnsi="Times New Roman" w:cs="Times New Roman"/>
          <w:sz w:val="24"/>
          <w:szCs w:val="24"/>
        </w:rPr>
        <w:t>3</w:t>
      </w:r>
      <w:r w:rsidR="008810B6" w:rsidRPr="008810B6">
        <w:rPr>
          <w:rFonts w:ascii="Times New Roman" w:hAnsi="Times New Roman" w:cs="Times New Roman"/>
          <w:sz w:val="24"/>
          <w:szCs w:val="24"/>
        </w:rPr>
        <w:t xml:space="preserve"> proc. mokinių nuo kūno kultūros pamokų buvo atleisti (2</w:t>
      </w:r>
      <w:r w:rsidR="008810B6">
        <w:rPr>
          <w:rFonts w:ascii="Times New Roman" w:hAnsi="Times New Roman" w:cs="Times New Roman"/>
          <w:sz w:val="24"/>
          <w:szCs w:val="24"/>
        </w:rPr>
        <w:t>1</w:t>
      </w:r>
      <w:r w:rsidR="008810B6" w:rsidRPr="008810B6">
        <w:rPr>
          <w:rFonts w:ascii="Times New Roman" w:hAnsi="Times New Roman" w:cs="Times New Roman"/>
          <w:sz w:val="24"/>
          <w:szCs w:val="24"/>
        </w:rPr>
        <w:t xml:space="preserve"> pav.).</w:t>
      </w:r>
    </w:p>
    <w:p w:rsidR="00E8050F" w:rsidRDefault="00E8050F" w:rsidP="002929FE">
      <w:pPr>
        <w:rPr>
          <w:rFonts w:ascii="Times New Roman" w:hAnsi="Times New Roman" w:cs="Times New Roman"/>
          <w:sz w:val="24"/>
          <w:szCs w:val="24"/>
        </w:rPr>
      </w:pPr>
    </w:p>
    <w:p w:rsidR="008810B6" w:rsidRDefault="008810B6" w:rsidP="00C7600A">
      <w:pPr>
        <w:spacing w:line="240" w:lineRule="auto"/>
        <w:jc w:val="center"/>
        <w:rPr>
          <w:rFonts w:ascii="Times New Roman" w:hAnsi="Times New Roman" w:cs="Times New Roman"/>
          <w:sz w:val="24"/>
          <w:szCs w:val="24"/>
        </w:rPr>
      </w:pPr>
      <w:r>
        <w:rPr>
          <w:noProof/>
          <w:lang w:eastAsia="lt-LT"/>
        </w:rPr>
        <w:drawing>
          <wp:inline distT="0" distB="0" distL="0" distR="0" wp14:anchorId="6251082F" wp14:editId="657D9400">
            <wp:extent cx="4857750" cy="1990725"/>
            <wp:effectExtent l="0" t="0" r="0"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810B6" w:rsidRPr="008810B6" w:rsidRDefault="008810B6" w:rsidP="00C7600A">
      <w:pPr>
        <w:spacing w:line="240" w:lineRule="auto"/>
        <w:jc w:val="center"/>
        <w:rPr>
          <w:rFonts w:ascii="Times New Roman" w:hAnsi="Times New Roman" w:cs="Times New Roman"/>
          <w:sz w:val="24"/>
          <w:szCs w:val="24"/>
        </w:rPr>
      </w:pPr>
      <w:r w:rsidRPr="008810B6">
        <w:rPr>
          <w:rFonts w:ascii="Times New Roman" w:hAnsi="Times New Roman" w:cs="Times New Roman"/>
          <w:b/>
          <w:bCs/>
          <w:sz w:val="24"/>
          <w:szCs w:val="24"/>
        </w:rPr>
        <w:t>21 pav. Profilaktiškai sveikatą pasitikrinusių mokinių pasiskirstymas pagal kūno kultūros grupes, proc.</w:t>
      </w:r>
    </w:p>
    <w:p w:rsidR="00C6229B" w:rsidRDefault="00C6229B" w:rsidP="002929FE">
      <w:pPr>
        <w:rPr>
          <w:rFonts w:ascii="Times New Roman" w:hAnsi="Times New Roman" w:cs="Times New Roman"/>
          <w:sz w:val="24"/>
          <w:szCs w:val="24"/>
        </w:rPr>
      </w:pPr>
    </w:p>
    <w:p w:rsidR="006E3055" w:rsidRDefault="006E3055" w:rsidP="002929FE">
      <w:pPr>
        <w:rPr>
          <w:rFonts w:ascii="Times New Roman" w:hAnsi="Times New Roman" w:cs="Times New Roman"/>
          <w:sz w:val="24"/>
          <w:szCs w:val="24"/>
        </w:rPr>
      </w:pPr>
    </w:p>
    <w:p w:rsidR="006E3055" w:rsidRPr="006E3055" w:rsidRDefault="006E3055" w:rsidP="002929FE">
      <w:pPr>
        <w:rPr>
          <w:rFonts w:ascii="Times New Roman" w:hAnsi="Times New Roman" w:cs="Times New Roman"/>
          <w:sz w:val="24"/>
          <w:szCs w:val="24"/>
        </w:rPr>
      </w:pPr>
      <w:r w:rsidRPr="006E3055">
        <w:rPr>
          <w:rFonts w:ascii="Times New Roman" w:hAnsi="Times New Roman" w:cs="Times New Roman"/>
          <w:b/>
          <w:bCs/>
          <w:i/>
          <w:iCs/>
          <w:sz w:val="24"/>
          <w:szCs w:val="24"/>
        </w:rPr>
        <w:t>Dantų ir žandikaulio būklė</w:t>
      </w:r>
    </w:p>
    <w:p w:rsidR="00C6229B" w:rsidRDefault="00C6229B" w:rsidP="002929FE">
      <w:pPr>
        <w:rPr>
          <w:rFonts w:ascii="Times New Roman" w:hAnsi="Times New Roman" w:cs="Times New Roman"/>
          <w:sz w:val="24"/>
          <w:szCs w:val="24"/>
        </w:rPr>
      </w:pPr>
    </w:p>
    <w:p w:rsidR="00C6229B" w:rsidRDefault="006E3055" w:rsidP="00C7600A">
      <w:pPr>
        <w:ind w:firstLine="1134"/>
        <w:rPr>
          <w:rFonts w:ascii="Times New Roman" w:hAnsi="Times New Roman" w:cs="Times New Roman"/>
          <w:sz w:val="24"/>
          <w:szCs w:val="24"/>
        </w:rPr>
      </w:pPr>
      <w:r w:rsidRPr="006E3055">
        <w:rPr>
          <w:rFonts w:ascii="Times New Roman" w:hAnsi="Times New Roman" w:cs="Times New Roman"/>
          <w:sz w:val="24"/>
          <w:szCs w:val="24"/>
        </w:rPr>
        <w:t xml:space="preserve">Dantų ir žandikaulio būklės įvertinimas </w:t>
      </w:r>
      <w:r>
        <w:rPr>
          <w:rFonts w:ascii="Times New Roman" w:hAnsi="Times New Roman" w:cs="Times New Roman"/>
          <w:sz w:val="24"/>
          <w:szCs w:val="24"/>
        </w:rPr>
        <w:t>svarbus tuo</w:t>
      </w:r>
      <w:r w:rsidRPr="006E3055">
        <w:rPr>
          <w:rFonts w:ascii="Times New Roman" w:hAnsi="Times New Roman" w:cs="Times New Roman"/>
          <w:sz w:val="24"/>
          <w:szCs w:val="24"/>
        </w:rPr>
        <w:t xml:space="preserve">, kad </w:t>
      </w:r>
      <w:r>
        <w:rPr>
          <w:rFonts w:ascii="Times New Roman" w:hAnsi="Times New Roman" w:cs="Times New Roman"/>
          <w:sz w:val="24"/>
          <w:szCs w:val="24"/>
        </w:rPr>
        <w:t>jis leidžia</w:t>
      </w:r>
      <w:r w:rsidRPr="006E3055">
        <w:rPr>
          <w:rFonts w:ascii="Times New Roman" w:hAnsi="Times New Roman" w:cs="Times New Roman"/>
          <w:sz w:val="24"/>
          <w:szCs w:val="24"/>
        </w:rPr>
        <w:t xml:space="preserve"> stebėti mokinių dantų, gleivinės būklę, pokyčius metams bėgant ir tai, kokį d</w:t>
      </w:r>
      <w:r>
        <w:rPr>
          <w:rFonts w:ascii="Times New Roman" w:hAnsi="Times New Roman" w:cs="Times New Roman"/>
          <w:sz w:val="24"/>
          <w:szCs w:val="24"/>
        </w:rPr>
        <w:t>ėmesį tėvai skiria vaikų dantų</w:t>
      </w:r>
      <w:r w:rsidRPr="006E3055">
        <w:rPr>
          <w:rFonts w:ascii="Times New Roman" w:hAnsi="Times New Roman" w:cs="Times New Roman"/>
          <w:sz w:val="24"/>
          <w:szCs w:val="24"/>
        </w:rPr>
        <w:t xml:space="preserve"> priežiūrai bei gydymui.</w:t>
      </w:r>
    </w:p>
    <w:p w:rsidR="006E3055" w:rsidRPr="006E3055" w:rsidRDefault="006E3055" w:rsidP="00C7600A">
      <w:pPr>
        <w:ind w:firstLine="1134"/>
        <w:rPr>
          <w:rFonts w:ascii="Times New Roman" w:hAnsi="Times New Roman" w:cs="Times New Roman"/>
          <w:sz w:val="24"/>
          <w:szCs w:val="24"/>
        </w:rPr>
      </w:pPr>
      <w:r>
        <w:rPr>
          <w:rFonts w:ascii="Times New Roman" w:hAnsi="Times New Roman" w:cs="Times New Roman"/>
          <w:sz w:val="24"/>
          <w:szCs w:val="24"/>
        </w:rPr>
        <w:t>2014</w:t>
      </w:r>
      <w:r w:rsidRPr="006E3055">
        <w:rPr>
          <w:rFonts w:ascii="Times New Roman" w:hAnsi="Times New Roman" w:cs="Times New Roman"/>
          <w:sz w:val="24"/>
          <w:szCs w:val="24"/>
        </w:rPr>
        <w:t xml:space="preserve"> mokslo metų pradžioje 6</w:t>
      </w:r>
      <w:r w:rsidR="00021888">
        <w:rPr>
          <w:rFonts w:ascii="Times New Roman" w:hAnsi="Times New Roman" w:cs="Times New Roman"/>
          <w:sz w:val="24"/>
          <w:szCs w:val="24"/>
        </w:rPr>
        <w:t>4</w:t>
      </w:r>
      <w:r w:rsidRPr="006E3055">
        <w:rPr>
          <w:rFonts w:ascii="Times New Roman" w:hAnsi="Times New Roman" w:cs="Times New Roman"/>
          <w:sz w:val="24"/>
          <w:szCs w:val="24"/>
        </w:rPr>
        <w:t>,6 proc. profilaktiškai sveikatą pasitikrinusių mokinių dantys buvo sveiki, o likusiems (3</w:t>
      </w:r>
      <w:r w:rsidR="00021888">
        <w:rPr>
          <w:rFonts w:ascii="Times New Roman" w:hAnsi="Times New Roman" w:cs="Times New Roman"/>
          <w:sz w:val="24"/>
          <w:szCs w:val="24"/>
        </w:rPr>
        <w:t>5</w:t>
      </w:r>
      <w:r w:rsidRPr="006E3055">
        <w:rPr>
          <w:rFonts w:ascii="Times New Roman" w:hAnsi="Times New Roman" w:cs="Times New Roman"/>
          <w:sz w:val="24"/>
          <w:szCs w:val="24"/>
        </w:rPr>
        <w:t>,4 proc.) buvo nustatyta, kad jų dantys yra sugedę (</w:t>
      </w:r>
      <w:r w:rsidR="00021888">
        <w:rPr>
          <w:rFonts w:ascii="Times New Roman" w:hAnsi="Times New Roman" w:cs="Times New Roman"/>
          <w:sz w:val="24"/>
          <w:szCs w:val="24"/>
        </w:rPr>
        <w:t>22</w:t>
      </w:r>
      <w:r w:rsidRPr="006E3055">
        <w:rPr>
          <w:rFonts w:ascii="Times New Roman" w:hAnsi="Times New Roman" w:cs="Times New Roman"/>
          <w:sz w:val="24"/>
          <w:szCs w:val="24"/>
        </w:rPr>
        <w:t xml:space="preserve"> pav.)</w:t>
      </w:r>
    </w:p>
    <w:p w:rsidR="00C6229B" w:rsidRPr="006E3055" w:rsidRDefault="00C6229B" w:rsidP="002929FE">
      <w:pPr>
        <w:rPr>
          <w:rFonts w:ascii="Times New Roman" w:hAnsi="Times New Roman" w:cs="Times New Roman"/>
          <w:sz w:val="24"/>
          <w:szCs w:val="24"/>
        </w:rPr>
      </w:pPr>
    </w:p>
    <w:p w:rsidR="00C6229B" w:rsidRDefault="00021888" w:rsidP="00C7600A">
      <w:pPr>
        <w:spacing w:line="240" w:lineRule="auto"/>
        <w:jc w:val="center"/>
        <w:rPr>
          <w:rFonts w:ascii="Times New Roman" w:hAnsi="Times New Roman" w:cs="Times New Roman"/>
          <w:sz w:val="24"/>
          <w:szCs w:val="24"/>
        </w:rPr>
      </w:pPr>
      <w:r>
        <w:rPr>
          <w:noProof/>
          <w:lang w:eastAsia="lt-LT"/>
        </w:rPr>
        <w:lastRenderedPageBreak/>
        <w:drawing>
          <wp:inline distT="0" distB="0" distL="0" distR="0" wp14:anchorId="375B9B58" wp14:editId="0DA096E5">
            <wp:extent cx="3848100" cy="1743075"/>
            <wp:effectExtent l="0" t="0" r="0" b="0"/>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229B" w:rsidRPr="00021888" w:rsidRDefault="00021888" w:rsidP="00C7600A">
      <w:pPr>
        <w:spacing w:line="240" w:lineRule="auto"/>
        <w:jc w:val="center"/>
        <w:rPr>
          <w:rFonts w:ascii="Times New Roman" w:hAnsi="Times New Roman" w:cs="Times New Roman"/>
          <w:sz w:val="24"/>
          <w:szCs w:val="24"/>
        </w:rPr>
      </w:pPr>
      <w:r w:rsidRPr="00021888">
        <w:rPr>
          <w:rFonts w:ascii="Times New Roman" w:hAnsi="Times New Roman" w:cs="Times New Roman"/>
          <w:b/>
          <w:bCs/>
          <w:sz w:val="23"/>
          <w:szCs w:val="23"/>
        </w:rPr>
        <w:t>22 pav. Profilaktiškai sveikatą pasitikrinusių mokinių dantų būklė, proc.</w:t>
      </w:r>
    </w:p>
    <w:p w:rsidR="00C6229B" w:rsidRDefault="00C6229B" w:rsidP="002929FE">
      <w:pPr>
        <w:rPr>
          <w:rFonts w:ascii="Times New Roman" w:hAnsi="Times New Roman" w:cs="Times New Roman"/>
          <w:sz w:val="24"/>
          <w:szCs w:val="24"/>
        </w:rPr>
      </w:pPr>
    </w:p>
    <w:p w:rsidR="00021888" w:rsidRPr="00734998" w:rsidRDefault="00734998" w:rsidP="002929FE">
      <w:pPr>
        <w:rPr>
          <w:rFonts w:ascii="Times New Roman" w:hAnsi="Times New Roman" w:cs="Times New Roman"/>
          <w:sz w:val="24"/>
          <w:szCs w:val="24"/>
        </w:rPr>
      </w:pPr>
      <w:r w:rsidRPr="00734998">
        <w:rPr>
          <w:rFonts w:ascii="Times New Roman" w:hAnsi="Times New Roman" w:cs="Times New Roman"/>
          <w:sz w:val="24"/>
          <w:szCs w:val="24"/>
        </w:rPr>
        <w:t xml:space="preserve">Analizuojant dantų būklę pagal klases (amžių), nustatyta, kad </w:t>
      </w:r>
      <w:r w:rsidR="001120C7">
        <w:rPr>
          <w:rFonts w:ascii="Times New Roman" w:hAnsi="Times New Roman" w:cs="Times New Roman"/>
          <w:sz w:val="24"/>
          <w:szCs w:val="24"/>
        </w:rPr>
        <w:t>67,6</w:t>
      </w:r>
      <w:r w:rsidRPr="00734998">
        <w:rPr>
          <w:rFonts w:ascii="Times New Roman" w:hAnsi="Times New Roman" w:cs="Times New Roman"/>
          <w:sz w:val="24"/>
          <w:szCs w:val="24"/>
        </w:rPr>
        <w:t xml:space="preserve"> proc. pirmų klasių mokinių turėjo sveiką dantų būklę, o 12 klasių mokinių dantų būklė jau šiek tiek pablogėjo ir siekė </w:t>
      </w:r>
      <w:r w:rsidR="001120C7">
        <w:rPr>
          <w:rFonts w:ascii="Times New Roman" w:hAnsi="Times New Roman" w:cs="Times New Roman"/>
          <w:sz w:val="24"/>
          <w:szCs w:val="24"/>
        </w:rPr>
        <w:t>58,1</w:t>
      </w:r>
      <w:r w:rsidRPr="00734998">
        <w:rPr>
          <w:rFonts w:ascii="Times New Roman" w:hAnsi="Times New Roman" w:cs="Times New Roman"/>
          <w:sz w:val="24"/>
          <w:szCs w:val="24"/>
        </w:rPr>
        <w:t xml:space="preserve"> proc. mokinių (</w:t>
      </w:r>
      <w:r w:rsidR="001120C7">
        <w:rPr>
          <w:rFonts w:ascii="Times New Roman" w:hAnsi="Times New Roman" w:cs="Times New Roman"/>
          <w:sz w:val="24"/>
          <w:szCs w:val="24"/>
        </w:rPr>
        <w:t>23</w:t>
      </w:r>
      <w:r w:rsidRPr="00734998">
        <w:rPr>
          <w:rFonts w:ascii="Times New Roman" w:hAnsi="Times New Roman" w:cs="Times New Roman"/>
          <w:sz w:val="24"/>
          <w:szCs w:val="24"/>
        </w:rPr>
        <w:t xml:space="preserve"> pav.).</w:t>
      </w:r>
    </w:p>
    <w:p w:rsidR="00C07B06" w:rsidRDefault="00C07B06" w:rsidP="002929FE">
      <w:pPr>
        <w:rPr>
          <w:rFonts w:ascii="Times New Roman" w:hAnsi="Times New Roman" w:cs="Times New Roman"/>
          <w:sz w:val="24"/>
          <w:szCs w:val="24"/>
        </w:rPr>
      </w:pPr>
    </w:p>
    <w:p w:rsidR="00C07B06" w:rsidRDefault="001120C7" w:rsidP="00C7600A">
      <w:pPr>
        <w:spacing w:line="240" w:lineRule="auto"/>
        <w:jc w:val="center"/>
        <w:rPr>
          <w:rFonts w:ascii="Times New Roman" w:hAnsi="Times New Roman" w:cs="Times New Roman"/>
          <w:sz w:val="24"/>
          <w:szCs w:val="24"/>
        </w:rPr>
      </w:pPr>
      <w:r>
        <w:rPr>
          <w:noProof/>
          <w:lang w:eastAsia="lt-LT"/>
        </w:rPr>
        <w:drawing>
          <wp:inline distT="0" distB="0" distL="0" distR="0" wp14:anchorId="639779E2" wp14:editId="452BBC13">
            <wp:extent cx="4400550" cy="2886075"/>
            <wp:effectExtent l="0" t="0" r="0" b="0"/>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07B06" w:rsidRDefault="00C07B06" w:rsidP="00C7600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r w:rsidR="001120C7">
        <w:rPr>
          <w:rFonts w:ascii="Times New Roman" w:hAnsi="Times New Roman" w:cs="Times New Roman"/>
          <w:b/>
          <w:bCs/>
          <w:sz w:val="24"/>
          <w:szCs w:val="24"/>
        </w:rPr>
        <w:t xml:space="preserve"> </w:t>
      </w:r>
      <w:r w:rsidRPr="00C07B06">
        <w:rPr>
          <w:rFonts w:ascii="Times New Roman" w:hAnsi="Times New Roman" w:cs="Times New Roman"/>
          <w:b/>
          <w:bCs/>
          <w:sz w:val="24"/>
          <w:szCs w:val="24"/>
        </w:rPr>
        <w:t>pav. Sveikatą pasitikrinusių mokinių dantų būklė pagal klases (amžių), proc</w:t>
      </w:r>
      <w:r w:rsidR="001120C7">
        <w:rPr>
          <w:rFonts w:ascii="Times New Roman" w:hAnsi="Times New Roman" w:cs="Times New Roman"/>
          <w:b/>
          <w:bCs/>
          <w:sz w:val="24"/>
          <w:szCs w:val="24"/>
        </w:rPr>
        <w:t>.</w:t>
      </w:r>
    </w:p>
    <w:p w:rsidR="00520E38" w:rsidRDefault="00520E38" w:rsidP="002929FE">
      <w:pPr>
        <w:rPr>
          <w:rFonts w:ascii="Times New Roman" w:hAnsi="Times New Roman" w:cs="Times New Roman"/>
          <w:b/>
          <w:bCs/>
          <w:sz w:val="24"/>
          <w:szCs w:val="24"/>
        </w:rPr>
      </w:pPr>
    </w:p>
    <w:p w:rsidR="001120C7" w:rsidRPr="00520E38" w:rsidRDefault="00520E38" w:rsidP="00C7600A">
      <w:pPr>
        <w:ind w:firstLine="1134"/>
        <w:rPr>
          <w:rFonts w:ascii="Times New Roman" w:hAnsi="Times New Roman" w:cs="Times New Roman"/>
          <w:b/>
          <w:bCs/>
          <w:sz w:val="24"/>
          <w:szCs w:val="24"/>
        </w:rPr>
      </w:pPr>
      <w:r w:rsidRPr="00520E38">
        <w:rPr>
          <w:rFonts w:ascii="Times New Roman" w:hAnsi="Times New Roman" w:cs="Times New Roman"/>
          <w:sz w:val="24"/>
          <w:szCs w:val="24"/>
        </w:rPr>
        <w:t xml:space="preserve">62,9 proc. profilaktiškai sveikatą pasitikrinusių mokinių žandikaulio būklė buvo normali ir 37,1 proc. mokinių buvo nustatyta </w:t>
      </w:r>
      <w:proofErr w:type="spellStart"/>
      <w:r w:rsidRPr="00520E38">
        <w:rPr>
          <w:rFonts w:ascii="Times New Roman" w:hAnsi="Times New Roman" w:cs="Times New Roman"/>
          <w:sz w:val="24"/>
          <w:szCs w:val="24"/>
        </w:rPr>
        <w:t>sąkandžio</w:t>
      </w:r>
      <w:proofErr w:type="spellEnd"/>
      <w:r w:rsidRPr="00520E38">
        <w:rPr>
          <w:rFonts w:ascii="Times New Roman" w:hAnsi="Times New Roman" w:cs="Times New Roman"/>
          <w:sz w:val="24"/>
          <w:szCs w:val="24"/>
        </w:rPr>
        <w:t xml:space="preserve"> patologija (24pav.).</w:t>
      </w:r>
    </w:p>
    <w:p w:rsidR="001120C7" w:rsidRDefault="00520E38" w:rsidP="00C7600A">
      <w:pPr>
        <w:spacing w:line="240" w:lineRule="auto"/>
        <w:jc w:val="center"/>
        <w:rPr>
          <w:rFonts w:ascii="Times New Roman" w:hAnsi="Times New Roman" w:cs="Times New Roman"/>
          <w:sz w:val="24"/>
          <w:szCs w:val="24"/>
        </w:rPr>
      </w:pPr>
      <w:r>
        <w:rPr>
          <w:noProof/>
          <w:lang w:eastAsia="lt-LT"/>
        </w:rPr>
        <w:lastRenderedPageBreak/>
        <w:drawing>
          <wp:inline distT="0" distB="0" distL="0" distR="0" wp14:anchorId="2DB1CB68" wp14:editId="439FE010">
            <wp:extent cx="4495800" cy="2743200"/>
            <wp:effectExtent l="0" t="0" r="0" b="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0E38" w:rsidRPr="00C07B06" w:rsidRDefault="00520E38" w:rsidP="00C7600A">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24</w:t>
      </w:r>
      <w:r w:rsidRPr="00520E38">
        <w:rPr>
          <w:rFonts w:ascii="Times New Roman" w:hAnsi="Times New Roman" w:cs="Times New Roman"/>
          <w:b/>
          <w:bCs/>
          <w:sz w:val="24"/>
          <w:szCs w:val="24"/>
        </w:rPr>
        <w:t xml:space="preserve"> pav. Profilaktiškai sveikatą pasitikrinusių mokinių žandikaulio būklė, proc</w:t>
      </w:r>
      <w:r>
        <w:rPr>
          <w:b/>
          <w:bCs/>
          <w:sz w:val="23"/>
          <w:szCs w:val="23"/>
        </w:rPr>
        <w:t>.</w:t>
      </w:r>
    </w:p>
    <w:p w:rsidR="00C7600A" w:rsidRDefault="00C7600A" w:rsidP="00B51082">
      <w:pPr>
        <w:pStyle w:val="prastasistinklapis"/>
        <w:spacing w:before="120" w:beforeAutospacing="0" w:after="120" w:afterAutospacing="0" w:line="360" w:lineRule="auto"/>
        <w:jc w:val="both"/>
        <w:rPr>
          <w:rFonts w:eastAsiaTheme="minorHAnsi"/>
          <w:lang w:eastAsia="en-US"/>
        </w:rPr>
      </w:pPr>
    </w:p>
    <w:p w:rsidR="00B51082" w:rsidRDefault="00B51082" w:rsidP="00B51082">
      <w:pPr>
        <w:pStyle w:val="prastasistinklapis"/>
        <w:spacing w:before="120" w:beforeAutospacing="0" w:after="120" w:afterAutospacing="0" w:line="360" w:lineRule="auto"/>
        <w:jc w:val="both"/>
        <w:rPr>
          <w:color w:val="000000"/>
          <w:spacing w:val="3"/>
        </w:rPr>
      </w:pPr>
    </w:p>
    <w:p w:rsidR="00C6229B" w:rsidRPr="00E765AD" w:rsidRDefault="006309DF" w:rsidP="00C7600A">
      <w:pPr>
        <w:pStyle w:val="prastasistinklapis"/>
        <w:spacing w:before="120" w:beforeAutospacing="0" w:after="120" w:afterAutospacing="0" w:line="360" w:lineRule="auto"/>
        <w:ind w:firstLine="1134"/>
        <w:jc w:val="both"/>
        <w:rPr>
          <w:color w:val="000000"/>
          <w:spacing w:val="3"/>
        </w:rPr>
      </w:pPr>
      <w:r>
        <w:rPr>
          <w:color w:val="000000"/>
          <w:spacing w:val="3"/>
        </w:rPr>
        <w:t xml:space="preserve">Profilaktiniai moksleivių sveikatos patikrinimai parodo, kad </w:t>
      </w:r>
      <w:r w:rsidR="00C6229B" w:rsidRPr="00E765AD">
        <w:rPr>
          <w:color w:val="000000"/>
          <w:spacing w:val="3"/>
        </w:rPr>
        <w:t>jau pradėdami lankyti mokyklą vaikai t</w:t>
      </w:r>
      <w:r w:rsidR="00DE5BA3">
        <w:rPr>
          <w:color w:val="000000"/>
          <w:spacing w:val="3"/>
        </w:rPr>
        <w:t xml:space="preserve">uri nemažai sveikatos sutrikimų </w:t>
      </w:r>
      <w:r>
        <w:rPr>
          <w:color w:val="000000"/>
          <w:spacing w:val="3"/>
        </w:rPr>
        <w:t>–</w:t>
      </w:r>
      <w:r w:rsidR="00DE5BA3">
        <w:rPr>
          <w:color w:val="000000"/>
          <w:spacing w:val="3"/>
        </w:rPr>
        <w:t xml:space="preserve"> </w:t>
      </w:r>
      <w:r>
        <w:rPr>
          <w:color w:val="000000"/>
          <w:spacing w:val="3"/>
        </w:rPr>
        <w:t>analizuojant Kauno miesto moksleivių sveikatos patikrinimų pažymas pastebima, kad</w:t>
      </w:r>
      <w:r w:rsidR="00C6229B" w:rsidRPr="00E765AD">
        <w:rPr>
          <w:color w:val="000000"/>
          <w:spacing w:val="3"/>
        </w:rPr>
        <w:t xml:space="preserve"> </w:t>
      </w:r>
      <w:r>
        <w:rPr>
          <w:color w:val="000000"/>
          <w:spacing w:val="3"/>
        </w:rPr>
        <w:t>maždaug</w:t>
      </w:r>
      <w:r w:rsidR="00E765AD">
        <w:rPr>
          <w:color w:val="000000"/>
          <w:spacing w:val="3"/>
        </w:rPr>
        <w:t xml:space="preserve"> pusė pirmų klasių mokinių</w:t>
      </w:r>
      <w:r>
        <w:rPr>
          <w:color w:val="000000"/>
          <w:spacing w:val="3"/>
        </w:rPr>
        <w:t xml:space="preserve"> jau</w:t>
      </w:r>
      <w:r w:rsidR="00E765AD">
        <w:rPr>
          <w:color w:val="000000"/>
          <w:spacing w:val="3"/>
        </w:rPr>
        <w:t xml:space="preserve"> turi </w:t>
      </w:r>
      <w:r w:rsidR="00C6229B" w:rsidRPr="00E765AD">
        <w:rPr>
          <w:color w:val="000000"/>
          <w:spacing w:val="3"/>
        </w:rPr>
        <w:t>vienokių ar kitokių sveikatos sutrikimų.</w:t>
      </w:r>
    </w:p>
    <w:p w:rsidR="00C6229B" w:rsidRPr="00E765AD" w:rsidRDefault="006309DF" w:rsidP="00C7600A">
      <w:pPr>
        <w:pStyle w:val="prastasistinklapis"/>
        <w:spacing w:before="120" w:beforeAutospacing="0" w:after="120" w:afterAutospacing="0" w:line="360" w:lineRule="auto"/>
        <w:ind w:firstLine="1134"/>
        <w:jc w:val="both"/>
        <w:rPr>
          <w:color w:val="000000"/>
          <w:spacing w:val="3"/>
        </w:rPr>
      </w:pPr>
      <w:r>
        <w:rPr>
          <w:color w:val="000000"/>
          <w:spacing w:val="3"/>
        </w:rPr>
        <w:t>Didelį</w:t>
      </w:r>
      <w:r w:rsidR="00C6229B" w:rsidRPr="00E765AD">
        <w:rPr>
          <w:color w:val="000000"/>
          <w:spacing w:val="3"/>
        </w:rPr>
        <w:t>  mokyklinio amžiaus va</w:t>
      </w:r>
      <w:r>
        <w:rPr>
          <w:color w:val="000000"/>
          <w:spacing w:val="3"/>
        </w:rPr>
        <w:t>ikų sveikatos sutrikimų skaičių lemia</w:t>
      </w:r>
      <w:r w:rsidR="00C6229B" w:rsidRPr="00E765AD">
        <w:rPr>
          <w:color w:val="000000"/>
          <w:spacing w:val="3"/>
        </w:rPr>
        <w:t xml:space="preserve"> </w:t>
      </w:r>
      <w:r>
        <w:rPr>
          <w:color w:val="000000"/>
          <w:spacing w:val="3"/>
        </w:rPr>
        <w:t>per didelis mokymo krūvis, netinkamas dienos režimas, nesubalansuota mityba, mažas fizinis aktyvumas</w:t>
      </w:r>
      <w:r w:rsidR="00C6229B" w:rsidRPr="00E765AD">
        <w:rPr>
          <w:color w:val="000000"/>
          <w:spacing w:val="3"/>
        </w:rPr>
        <w:t xml:space="preserve">. </w:t>
      </w:r>
      <w:r w:rsidR="00E765AD">
        <w:rPr>
          <w:color w:val="000000"/>
          <w:spacing w:val="3"/>
        </w:rPr>
        <w:t>Šiais naujausių technologijų laikais</w:t>
      </w:r>
      <w:r w:rsidR="00C6229B" w:rsidRPr="00E765AD">
        <w:rPr>
          <w:color w:val="000000"/>
          <w:spacing w:val="3"/>
        </w:rPr>
        <w:t xml:space="preserve"> net ikimokyklinio amžiaus vaikai nemažai laiko praleidžia prie kompiuterio ir televizoriaus. </w:t>
      </w:r>
      <w:r w:rsidR="00E765AD">
        <w:rPr>
          <w:color w:val="000000"/>
          <w:spacing w:val="3"/>
        </w:rPr>
        <w:t>Tai įtakoja</w:t>
      </w:r>
      <w:r w:rsidR="00C6229B" w:rsidRPr="00E765AD">
        <w:rPr>
          <w:color w:val="000000"/>
          <w:spacing w:val="3"/>
        </w:rPr>
        <w:t xml:space="preserve"> didelį regėjimo bei laikysenos sutrikimų</w:t>
      </w:r>
      <w:r w:rsidR="00E765AD">
        <w:rPr>
          <w:color w:val="000000"/>
          <w:spacing w:val="3"/>
        </w:rPr>
        <w:t xml:space="preserve"> turinčių vaikų</w:t>
      </w:r>
      <w:r w:rsidR="00C6229B" w:rsidRPr="00E765AD">
        <w:rPr>
          <w:color w:val="000000"/>
          <w:spacing w:val="3"/>
        </w:rPr>
        <w:t xml:space="preserve"> skaičių.</w:t>
      </w:r>
    </w:p>
    <w:p w:rsidR="00C6229B" w:rsidRPr="00E765AD" w:rsidRDefault="00C6229B" w:rsidP="00C7600A">
      <w:pPr>
        <w:pStyle w:val="prastasistinklapis"/>
        <w:spacing w:before="120" w:beforeAutospacing="0" w:after="120" w:afterAutospacing="0" w:line="360" w:lineRule="auto"/>
        <w:ind w:firstLine="1134"/>
        <w:jc w:val="both"/>
        <w:rPr>
          <w:color w:val="000000"/>
          <w:spacing w:val="3"/>
        </w:rPr>
      </w:pPr>
      <w:r w:rsidRPr="00E765AD">
        <w:rPr>
          <w:color w:val="000000"/>
          <w:spacing w:val="3"/>
        </w:rPr>
        <w:t xml:space="preserve">Reikėtų nepamiršti, kad  norint išsaugoti gerą vaikų regėjimą, reikia riboti laiką, praleidžiamą  prie televizoriaus ir kompiuterio.  Be pertraukos žiūrėti televizorių ar dirbti  kompiuteriu  galima ne ilgiau kaip 1 – 1,5 valandos. </w:t>
      </w:r>
      <w:r w:rsidR="00E765AD">
        <w:rPr>
          <w:color w:val="000000"/>
          <w:spacing w:val="3"/>
        </w:rPr>
        <w:t>Tėveliai t</w:t>
      </w:r>
      <w:r w:rsidRPr="00E765AD">
        <w:rPr>
          <w:color w:val="000000"/>
          <w:spacing w:val="3"/>
        </w:rPr>
        <w:t xml:space="preserve">aip pat </w:t>
      </w:r>
      <w:r w:rsidR="00E765AD">
        <w:rPr>
          <w:color w:val="000000"/>
          <w:spacing w:val="3"/>
        </w:rPr>
        <w:t>turėtų</w:t>
      </w:r>
      <w:r w:rsidRPr="00E765AD">
        <w:rPr>
          <w:color w:val="000000"/>
          <w:spacing w:val="3"/>
        </w:rPr>
        <w:t xml:space="preserve"> pasirūpinti tinkamu apšviet</w:t>
      </w:r>
      <w:r w:rsidR="00E765AD">
        <w:rPr>
          <w:color w:val="000000"/>
          <w:spacing w:val="3"/>
        </w:rPr>
        <w:t>imu. Televizija ir kompiuteris</w:t>
      </w:r>
      <w:r w:rsidRPr="00E765AD">
        <w:rPr>
          <w:color w:val="000000"/>
          <w:spacing w:val="3"/>
        </w:rPr>
        <w:t xml:space="preserve"> mažamečiams turėtų būti tik labai trumpalaikė pramoga, o ne laisvalaikio praleidimo būdas, tampantis priklausomybe.</w:t>
      </w:r>
    </w:p>
    <w:p w:rsidR="00C6229B" w:rsidRPr="00E765AD" w:rsidRDefault="00C6229B" w:rsidP="00C7600A">
      <w:pPr>
        <w:pStyle w:val="prastasistinklapis"/>
        <w:spacing w:before="120" w:beforeAutospacing="0" w:after="120" w:afterAutospacing="0" w:line="360" w:lineRule="auto"/>
        <w:ind w:firstLine="1134"/>
        <w:jc w:val="both"/>
        <w:rPr>
          <w:color w:val="000000"/>
          <w:spacing w:val="3"/>
        </w:rPr>
      </w:pPr>
      <w:r w:rsidRPr="00E765AD">
        <w:rPr>
          <w:color w:val="000000"/>
          <w:spacing w:val="3"/>
        </w:rPr>
        <w:t xml:space="preserve">Laikysenos sutrikimų profilaktikai  </w:t>
      </w:r>
      <w:r w:rsidR="00E765AD">
        <w:rPr>
          <w:color w:val="000000"/>
          <w:spacing w:val="3"/>
        </w:rPr>
        <w:t>svarbu</w:t>
      </w:r>
      <w:r w:rsidRPr="00E765AD">
        <w:rPr>
          <w:color w:val="000000"/>
          <w:spacing w:val="3"/>
        </w:rPr>
        <w:t xml:space="preserve">  nepamiršti mokyklinės kuprinės higieninių reikalavimų: mokyklinė kuprinė turi turėti du reguliuojamo ilgio, plačius, paminkštintus diržus. Tuščia kuprinė pradinukams turi sverti iki 700 g, vyresniųjų kla</w:t>
      </w:r>
      <w:r w:rsidR="00E765AD">
        <w:rPr>
          <w:color w:val="000000"/>
          <w:spacing w:val="3"/>
        </w:rPr>
        <w:t>sių moksleiviams – iki 1000 g. </w:t>
      </w:r>
      <w:r w:rsidRPr="00E765AD">
        <w:rPr>
          <w:color w:val="000000"/>
          <w:spacing w:val="3"/>
        </w:rPr>
        <w:t xml:space="preserve">Nešamos kuprinės apačia neturi būti žemiau moksleivio juosmens. Optimalus pilnos kuprinės svoris turėtų sudaryti ne daugiau kaip 10 proc. mokinių kūno masės, </w:t>
      </w:r>
      <w:r w:rsidRPr="00E765AD">
        <w:rPr>
          <w:color w:val="000000"/>
          <w:spacing w:val="3"/>
        </w:rPr>
        <w:lastRenderedPageBreak/>
        <w:t>didžiausias pilnos kuprinės svoris neturi viršyti 15 proc. mokinio kūno masės. Sunkiausius daiktus rekomenduojama dėti į tą kuprinės dalį, kuri yra arčiausiai nugaros. Mokiniai  kuprinės diržus turėtų užsidėti ant abiejų pečių.  </w:t>
      </w:r>
      <w:r w:rsidR="00E765AD">
        <w:rPr>
          <w:color w:val="000000"/>
          <w:spacing w:val="3"/>
        </w:rPr>
        <w:t>Labai</w:t>
      </w:r>
      <w:r w:rsidRPr="00E765AD">
        <w:rPr>
          <w:color w:val="000000"/>
          <w:spacing w:val="3"/>
        </w:rPr>
        <w:t xml:space="preserve"> svarbu vaikams</w:t>
      </w:r>
      <w:r w:rsidR="00E765AD">
        <w:rPr>
          <w:color w:val="000000"/>
          <w:spacing w:val="3"/>
        </w:rPr>
        <w:t xml:space="preserve"> jau nuo mažens</w:t>
      </w:r>
      <w:r w:rsidRPr="00E765AD">
        <w:rPr>
          <w:color w:val="000000"/>
          <w:spacing w:val="3"/>
        </w:rPr>
        <w:t xml:space="preserve"> ugdyti taisyklingos laikysenos įgūdžius, skatinti fizinį aktyvumą,</w:t>
      </w:r>
      <w:r w:rsidR="006309DF">
        <w:rPr>
          <w:color w:val="000000"/>
          <w:spacing w:val="3"/>
        </w:rPr>
        <w:t xml:space="preserve"> </w:t>
      </w:r>
      <w:r w:rsidRPr="00E765AD">
        <w:rPr>
          <w:color w:val="000000"/>
          <w:spacing w:val="3"/>
        </w:rPr>
        <w:t>grūdinimąsi</w:t>
      </w:r>
      <w:r w:rsidR="003415AC">
        <w:rPr>
          <w:color w:val="000000"/>
          <w:spacing w:val="3"/>
        </w:rPr>
        <w:t>, palaikyti tinkamą darbo ir poilsio režimą</w:t>
      </w:r>
      <w:r w:rsidRPr="00E765AD">
        <w:rPr>
          <w:color w:val="000000"/>
          <w:spacing w:val="3"/>
        </w:rPr>
        <w:t>. Jei vaikas skundžiasi nu</w:t>
      </w:r>
      <w:r w:rsidR="006309DF">
        <w:rPr>
          <w:color w:val="000000"/>
          <w:spacing w:val="3"/>
        </w:rPr>
        <w:t>garos skausmu, būtina kreiptis</w:t>
      </w:r>
      <w:r w:rsidRPr="00E765AD">
        <w:rPr>
          <w:color w:val="000000"/>
          <w:spacing w:val="3"/>
        </w:rPr>
        <w:t xml:space="preserve"> į šeimos gydytoją.</w:t>
      </w:r>
    </w:p>
    <w:p w:rsidR="00C6229B" w:rsidRPr="00E765AD" w:rsidRDefault="00C6229B" w:rsidP="00B51082">
      <w:pPr>
        <w:pStyle w:val="prastasistinklapis"/>
        <w:spacing w:before="120" w:beforeAutospacing="0" w:after="120" w:afterAutospacing="0" w:line="360" w:lineRule="auto"/>
        <w:ind w:firstLine="1134"/>
        <w:jc w:val="both"/>
        <w:rPr>
          <w:color w:val="000000"/>
          <w:spacing w:val="3"/>
        </w:rPr>
      </w:pPr>
      <w:r w:rsidRPr="00E765AD">
        <w:rPr>
          <w:color w:val="000000"/>
          <w:spacing w:val="3"/>
        </w:rPr>
        <w:t>Vaikų sveikatai labai svarbu ir subalansuota mityba. Tik taisyklingai besimaitinantis vaikas gali gerai augti. Ypač svarbu, kad tinkama,  racionali mityba būtų propaguojama lytinio brendimo metu, nes šiuo laikotarpiu atsiranda daug psichologinių problemų, dėl kurių jaunuoliai dažnai suserga valgymo sutrikimais (nervine bulimija ar anoreksija). Subalansuota mityba  brendimo metu svarbi vaiko augimui bei vystymuisi. Netinkamos mitybos problema labai aktuali šiuolaikinėje visuomenėje, kai produktų pasiūla yra didžiulė,  jų kokybė ne visada atitinka augančio organizmo poreikius. Paaugliai  labai lengvai pasiduoda reklamai, dėl to labai svarbu nuo pat mažens ugdyti vartotojo savybes. Sveikos mitybos tradicijos turi būti puoselėjamos šeimoje, mokykloje, kur vaikas praleidžia didžiąją dienos dalį. Todėl adekvačios tėvų, mokytojų, mokyklos, valgyklos darbuotojų, mokyklų visuomenės sveikatos priežiūros specialistų  žinios apie vaiko maisto medžiagų poreikį, jo priklausomybę nuo amžiaus, lyties, fizinio aktyvumo sveikatos, sveikus ir nesveikus maisto produktus, su mityba susijusius sveikatos sutrikimus yra labai svarbios.</w:t>
      </w:r>
    </w:p>
    <w:p w:rsidR="00C6229B" w:rsidRPr="00C6229B" w:rsidRDefault="00C6229B" w:rsidP="002929FE">
      <w:pPr>
        <w:rPr>
          <w:rFonts w:ascii="Times New Roman" w:hAnsi="Times New Roman" w:cs="Times New Roman"/>
          <w:sz w:val="24"/>
          <w:szCs w:val="24"/>
        </w:rPr>
      </w:pPr>
    </w:p>
    <w:p w:rsidR="00B51082" w:rsidRDefault="00E765AD" w:rsidP="00E765AD">
      <w:pPr>
        <w:pStyle w:val="Antrat1"/>
        <w:rPr>
          <w:rFonts w:ascii="Times New Roman" w:hAnsi="Times New Roman" w:cs="Times New Roman"/>
          <w:color w:val="auto"/>
        </w:rPr>
      </w:pPr>
      <w:r>
        <w:rPr>
          <w:rFonts w:ascii="Times New Roman" w:hAnsi="Times New Roman" w:cs="Times New Roman"/>
          <w:color w:val="auto"/>
        </w:rPr>
        <w:t xml:space="preserve">                                           </w:t>
      </w:r>
    </w:p>
    <w:p w:rsidR="00B51082" w:rsidRDefault="00B51082" w:rsidP="00E765AD">
      <w:pPr>
        <w:pStyle w:val="Antrat1"/>
        <w:rPr>
          <w:rFonts w:ascii="Times New Roman" w:hAnsi="Times New Roman" w:cs="Times New Roman"/>
          <w:color w:val="auto"/>
        </w:rPr>
      </w:pPr>
    </w:p>
    <w:p w:rsidR="00B51082" w:rsidRDefault="00B51082" w:rsidP="00E765AD">
      <w:pPr>
        <w:pStyle w:val="Antrat1"/>
        <w:rPr>
          <w:rFonts w:ascii="Times New Roman" w:hAnsi="Times New Roman" w:cs="Times New Roman"/>
          <w:color w:val="auto"/>
        </w:rPr>
      </w:pPr>
      <w:r>
        <w:rPr>
          <w:rFonts w:ascii="Times New Roman" w:hAnsi="Times New Roman" w:cs="Times New Roman"/>
          <w:color w:val="auto"/>
        </w:rPr>
        <w:t xml:space="preserve">   </w:t>
      </w:r>
    </w:p>
    <w:p w:rsidR="00B51082" w:rsidRDefault="00B51082" w:rsidP="00B51082"/>
    <w:p w:rsidR="00B51082" w:rsidRDefault="00B51082" w:rsidP="00B51082"/>
    <w:p w:rsidR="00B51082" w:rsidRDefault="00B51082" w:rsidP="00B51082">
      <w:pPr>
        <w:pStyle w:val="Antrat1"/>
        <w:jc w:val="center"/>
        <w:rPr>
          <w:rFonts w:asciiTheme="minorHAnsi" w:eastAsiaTheme="minorHAnsi" w:hAnsiTheme="minorHAnsi" w:cstheme="minorBidi"/>
          <w:b w:val="0"/>
          <w:bCs w:val="0"/>
          <w:color w:val="auto"/>
          <w:sz w:val="22"/>
          <w:szCs w:val="22"/>
        </w:rPr>
      </w:pPr>
    </w:p>
    <w:p w:rsidR="00B51082" w:rsidRPr="00B51082" w:rsidRDefault="00B51082" w:rsidP="00B51082"/>
    <w:p w:rsidR="00E765AD" w:rsidRDefault="00E765AD" w:rsidP="00B51082">
      <w:pPr>
        <w:pStyle w:val="Antrat1"/>
        <w:jc w:val="center"/>
        <w:rPr>
          <w:rFonts w:ascii="Times New Roman" w:hAnsi="Times New Roman" w:cs="Times New Roman"/>
          <w:color w:val="auto"/>
        </w:rPr>
      </w:pPr>
      <w:r w:rsidRPr="00E765AD">
        <w:rPr>
          <w:rFonts w:ascii="Times New Roman" w:hAnsi="Times New Roman" w:cs="Times New Roman"/>
          <w:color w:val="auto"/>
        </w:rPr>
        <w:lastRenderedPageBreak/>
        <w:t>IŠVADOS</w:t>
      </w:r>
    </w:p>
    <w:p w:rsidR="00E765AD" w:rsidRDefault="00E765AD" w:rsidP="00E765AD"/>
    <w:p w:rsidR="003415AC" w:rsidRPr="003415AC" w:rsidRDefault="00E765AD" w:rsidP="003415AC">
      <w:pPr>
        <w:pStyle w:val="Default"/>
        <w:numPr>
          <w:ilvl w:val="0"/>
          <w:numId w:val="2"/>
        </w:numPr>
        <w:spacing w:line="360" w:lineRule="auto"/>
      </w:pPr>
      <w:r w:rsidRPr="003415AC">
        <w:t xml:space="preserve">2014 mokslo metais profilaktiškai sveikatą pasitikrino 94 proc. mokinių; </w:t>
      </w:r>
    </w:p>
    <w:p w:rsidR="003415AC" w:rsidRPr="003415AC" w:rsidRDefault="003415AC" w:rsidP="003415AC">
      <w:pPr>
        <w:pStyle w:val="Sraopastraipa"/>
        <w:numPr>
          <w:ilvl w:val="0"/>
          <w:numId w:val="2"/>
        </w:numPr>
        <w:autoSpaceDE w:val="0"/>
        <w:autoSpaceDN w:val="0"/>
        <w:adjustRightInd w:val="0"/>
        <w:jc w:val="left"/>
        <w:rPr>
          <w:rFonts w:ascii="Times New Roman" w:hAnsi="Times New Roman" w:cs="Times New Roman"/>
          <w:color w:val="000000"/>
          <w:sz w:val="23"/>
          <w:szCs w:val="23"/>
        </w:rPr>
      </w:pPr>
      <w:r w:rsidRPr="003415AC">
        <w:rPr>
          <w:rFonts w:ascii="Times New Roman" w:hAnsi="Times New Roman" w:cs="Times New Roman"/>
          <w:color w:val="000000"/>
          <w:sz w:val="23"/>
          <w:szCs w:val="23"/>
        </w:rPr>
        <w:t>Dažniausiai mokiniams nustatomi regos (</w:t>
      </w:r>
      <w:r>
        <w:rPr>
          <w:rFonts w:ascii="Times New Roman" w:hAnsi="Times New Roman" w:cs="Times New Roman"/>
          <w:color w:val="000000"/>
          <w:sz w:val="23"/>
          <w:szCs w:val="23"/>
        </w:rPr>
        <w:t>48,5</w:t>
      </w:r>
      <w:r w:rsidRPr="003415AC">
        <w:rPr>
          <w:rFonts w:ascii="Times New Roman" w:hAnsi="Times New Roman" w:cs="Times New Roman"/>
          <w:color w:val="000000"/>
          <w:sz w:val="23"/>
          <w:szCs w:val="23"/>
        </w:rPr>
        <w:t xml:space="preserve"> proc. pasitikrinusių mokinių) ir skeleto-raumenų sistemos sutrikimai (</w:t>
      </w:r>
      <w:r>
        <w:rPr>
          <w:rFonts w:ascii="Times New Roman" w:hAnsi="Times New Roman" w:cs="Times New Roman"/>
          <w:color w:val="000000"/>
          <w:sz w:val="23"/>
          <w:szCs w:val="23"/>
        </w:rPr>
        <w:t>34,6</w:t>
      </w:r>
      <w:r w:rsidRPr="003415AC">
        <w:rPr>
          <w:rFonts w:ascii="Times New Roman" w:hAnsi="Times New Roman" w:cs="Times New Roman"/>
          <w:color w:val="000000"/>
          <w:sz w:val="23"/>
          <w:szCs w:val="23"/>
        </w:rPr>
        <w:t>proc. pasitikrinusių mokinių). Trečioje vietoje yra kraujotakos sistemos (</w:t>
      </w:r>
      <w:r>
        <w:rPr>
          <w:rFonts w:ascii="Times New Roman" w:hAnsi="Times New Roman" w:cs="Times New Roman"/>
          <w:color w:val="000000"/>
          <w:sz w:val="23"/>
          <w:szCs w:val="23"/>
        </w:rPr>
        <w:t>12,4</w:t>
      </w:r>
      <w:r w:rsidRPr="003415AC">
        <w:rPr>
          <w:rFonts w:ascii="Times New Roman" w:hAnsi="Times New Roman" w:cs="Times New Roman"/>
          <w:color w:val="000000"/>
          <w:sz w:val="23"/>
          <w:szCs w:val="23"/>
        </w:rPr>
        <w:t>proc.), ketvirtoje – kvėpavimo sistemos (</w:t>
      </w:r>
      <w:r>
        <w:rPr>
          <w:rFonts w:ascii="Times New Roman" w:hAnsi="Times New Roman" w:cs="Times New Roman"/>
          <w:color w:val="000000"/>
          <w:sz w:val="23"/>
          <w:szCs w:val="23"/>
        </w:rPr>
        <w:t>12,1</w:t>
      </w:r>
      <w:r w:rsidRPr="003415AC">
        <w:rPr>
          <w:rFonts w:ascii="Times New Roman" w:hAnsi="Times New Roman" w:cs="Times New Roman"/>
          <w:color w:val="000000"/>
          <w:sz w:val="23"/>
          <w:szCs w:val="23"/>
        </w:rPr>
        <w:t xml:space="preserve"> proc.) sutrikimai; </w:t>
      </w:r>
    </w:p>
    <w:p w:rsidR="00E765AD" w:rsidRDefault="003415AC" w:rsidP="003415AC">
      <w:pPr>
        <w:pStyle w:val="Sraopastraipa"/>
        <w:numPr>
          <w:ilvl w:val="0"/>
          <w:numId w:val="2"/>
        </w:numPr>
        <w:rPr>
          <w:rFonts w:ascii="Times New Roman" w:hAnsi="Times New Roman" w:cs="Times New Roman"/>
          <w:sz w:val="24"/>
          <w:szCs w:val="24"/>
        </w:rPr>
      </w:pPr>
      <w:r w:rsidRPr="003415AC">
        <w:rPr>
          <w:rFonts w:ascii="Times New Roman" w:hAnsi="Times New Roman" w:cs="Times New Roman"/>
          <w:sz w:val="24"/>
          <w:szCs w:val="24"/>
        </w:rPr>
        <w:t>Regos sistemos sutrikimų turinčių mokinių skaičius kasmet tendencingai auga, nuo 2010 metų regos sutrikimų turinčių moksleivių padaugėjo 10 proc. (2010 m. – 38,7 proc., 2014 m. – 48,5 proc.)</w:t>
      </w:r>
      <w:r w:rsidR="0038669D">
        <w:rPr>
          <w:rFonts w:ascii="Times New Roman" w:hAnsi="Times New Roman" w:cs="Times New Roman"/>
          <w:sz w:val="24"/>
          <w:szCs w:val="24"/>
        </w:rPr>
        <w:t>;</w:t>
      </w:r>
    </w:p>
    <w:p w:rsidR="0038669D" w:rsidRDefault="0038669D"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Skeleto – raumenų sistemos sutrikimų turinčių moksleivių skaičius nuo 2010 metų sumažėjo, tačiau vis tiek išliko didelis. Daugiausiai skeleto – raumenų sistemos sutrikimų nustatyta aštuntų klasių mokiniams;</w:t>
      </w:r>
    </w:p>
    <w:p w:rsidR="0038669D" w:rsidRDefault="0038669D"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 xml:space="preserve">Sergamumas kvėpavimo sistemos ligomis tarp Kauno miesto moksleivių kasmet tendencingai auga, </w:t>
      </w:r>
      <w:r w:rsidR="000F685D">
        <w:rPr>
          <w:rFonts w:ascii="Times New Roman" w:hAnsi="Times New Roman" w:cs="Times New Roman"/>
          <w:sz w:val="24"/>
          <w:szCs w:val="24"/>
        </w:rPr>
        <w:t>2014</w:t>
      </w:r>
      <w:r>
        <w:rPr>
          <w:rFonts w:ascii="Times New Roman" w:hAnsi="Times New Roman" w:cs="Times New Roman"/>
          <w:sz w:val="24"/>
          <w:szCs w:val="24"/>
        </w:rPr>
        <w:t xml:space="preserve"> metais  </w:t>
      </w:r>
      <w:r w:rsidR="000F685D">
        <w:rPr>
          <w:rFonts w:ascii="Times New Roman" w:hAnsi="Times New Roman" w:cs="Times New Roman"/>
          <w:sz w:val="24"/>
          <w:szCs w:val="24"/>
        </w:rPr>
        <w:t xml:space="preserve">kvėpavimo sistemos sutrikimų turėjo 12,1 proc. moksleivių, tai beveik 4 proc. daugiau nei 2010 m. </w:t>
      </w:r>
    </w:p>
    <w:p w:rsidR="000F685D" w:rsidRPr="000F685D" w:rsidRDefault="000F685D"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Kraujotakos sistemos sutrikimų turinčių vaikų Kauno miesto mokyklose kasmet daugėja, 2014 m. šių sutrikimų turėjo 12,4 proc. moksleivių.</w:t>
      </w:r>
      <w:r w:rsidRPr="000F685D">
        <w:rPr>
          <w:rFonts w:ascii="Times New Roman" w:hAnsi="Times New Roman" w:cs="Times New Roman"/>
          <w:bCs/>
          <w:sz w:val="24"/>
          <w:szCs w:val="24"/>
        </w:rPr>
        <w:t xml:space="preserve"> </w:t>
      </w:r>
      <w:r>
        <w:rPr>
          <w:rFonts w:ascii="Times New Roman" w:hAnsi="Times New Roman" w:cs="Times New Roman"/>
          <w:bCs/>
          <w:sz w:val="24"/>
          <w:szCs w:val="24"/>
        </w:rPr>
        <w:t>Didžiausias procentas kraujotakos sistemos sutrikimų turinčių vaikų, vertinat pagal klases nustatytas pirmose klasėse.</w:t>
      </w:r>
    </w:p>
    <w:p w:rsidR="000F685D" w:rsidRDefault="000F685D"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Nervų sistemos sutrikimų turinčių Kauno miesto moksleivių procentas 2014 metais kito nežymiai. Tarp 12 klasės moksleivių nervų sistemos sutrikimų užregistruota dvigubai mažiau, nei tarp pirmokų.</w:t>
      </w:r>
    </w:p>
    <w:p w:rsidR="000F685D" w:rsidRDefault="00B44533"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2010 – 2014 m. pastebimas endokrininės sistemos sutrikimų turinčių moksleivių skaičiaus didėjimas. Daugiausiai endokrininės sistemos sutrikimų nustatyta aštuntų klasių moksleiviams.</w:t>
      </w:r>
    </w:p>
    <w:p w:rsidR="00B44533" w:rsidRDefault="00CE2947"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 xml:space="preserve">Virškinimo sutrikimų turinčių mokinių skaičius nežymiai sumažėjo, daugiausiai virškinimo sutrikimų nustatyta 11- 12 klasių moksleiviams. </w:t>
      </w:r>
    </w:p>
    <w:p w:rsidR="00CE2947" w:rsidRDefault="00A32CC8"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4,3</w:t>
      </w:r>
      <w:r w:rsidRPr="00983B90">
        <w:rPr>
          <w:rFonts w:ascii="Times New Roman" w:hAnsi="Times New Roman" w:cs="Times New Roman"/>
          <w:sz w:val="24"/>
          <w:szCs w:val="24"/>
        </w:rPr>
        <w:t xml:space="preserve"> proc. profilaktiškai sveikatą pasitikrinusių </w:t>
      </w:r>
      <w:r>
        <w:rPr>
          <w:rFonts w:ascii="Times New Roman" w:hAnsi="Times New Roman" w:cs="Times New Roman"/>
          <w:sz w:val="24"/>
          <w:szCs w:val="24"/>
        </w:rPr>
        <w:t xml:space="preserve">Kauno miesto </w:t>
      </w:r>
      <w:r w:rsidRPr="00983B90">
        <w:rPr>
          <w:rFonts w:ascii="Times New Roman" w:hAnsi="Times New Roman" w:cs="Times New Roman"/>
          <w:sz w:val="24"/>
          <w:szCs w:val="24"/>
        </w:rPr>
        <w:t xml:space="preserve">mokinių turėjo per mažą kūno masę (pagal kūno masės indeksą (KMI)), </w:t>
      </w:r>
      <w:r>
        <w:rPr>
          <w:rFonts w:ascii="Times New Roman" w:hAnsi="Times New Roman" w:cs="Times New Roman"/>
          <w:sz w:val="24"/>
          <w:szCs w:val="24"/>
        </w:rPr>
        <w:t>5,3</w:t>
      </w:r>
      <w:r w:rsidRPr="00983B90">
        <w:rPr>
          <w:rFonts w:ascii="Times New Roman" w:hAnsi="Times New Roman" w:cs="Times New Roman"/>
          <w:sz w:val="24"/>
          <w:szCs w:val="24"/>
        </w:rPr>
        <w:t xml:space="preserve"> proc. - padidėjusią, </w:t>
      </w:r>
      <w:r>
        <w:rPr>
          <w:rFonts w:ascii="Times New Roman" w:hAnsi="Times New Roman" w:cs="Times New Roman"/>
          <w:sz w:val="24"/>
          <w:szCs w:val="24"/>
        </w:rPr>
        <w:t>3</w:t>
      </w:r>
      <w:r w:rsidRPr="00983B90">
        <w:rPr>
          <w:rFonts w:ascii="Times New Roman" w:hAnsi="Times New Roman" w:cs="Times New Roman"/>
          <w:sz w:val="24"/>
          <w:szCs w:val="24"/>
        </w:rPr>
        <w:t>,</w:t>
      </w:r>
      <w:r>
        <w:rPr>
          <w:rFonts w:ascii="Times New Roman" w:hAnsi="Times New Roman" w:cs="Times New Roman"/>
          <w:sz w:val="24"/>
          <w:szCs w:val="24"/>
        </w:rPr>
        <w:t>5</w:t>
      </w:r>
      <w:r w:rsidRPr="00983B90">
        <w:rPr>
          <w:rFonts w:ascii="Times New Roman" w:hAnsi="Times New Roman" w:cs="Times New Roman"/>
          <w:sz w:val="24"/>
          <w:szCs w:val="24"/>
        </w:rPr>
        <w:t xml:space="preserve"> proc. mokinių buvo nustatytas nutukimas, o </w:t>
      </w:r>
      <w:r>
        <w:rPr>
          <w:rFonts w:ascii="Times New Roman" w:hAnsi="Times New Roman" w:cs="Times New Roman"/>
          <w:sz w:val="24"/>
          <w:szCs w:val="24"/>
        </w:rPr>
        <w:t>86</w:t>
      </w:r>
      <w:r w:rsidRPr="00983B90">
        <w:rPr>
          <w:rFonts w:ascii="Times New Roman" w:hAnsi="Times New Roman" w:cs="Times New Roman"/>
          <w:sz w:val="24"/>
          <w:szCs w:val="24"/>
        </w:rPr>
        <w:t>,</w:t>
      </w:r>
      <w:r>
        <w:rPr>
          <w:rFonts w:ascii="Times New Roman" w:hAnsi="Times New Roman" w:cs="Times New Roman"/>
          <w:sz w:val="24"/>
          <w:szCs w:val="24"/>
        </w:rPr>
        <w:t>9</w:t>
      </w:r>
      <w:r w:rsidRPr="00983B90">
        <w:rPr>
          <w:rFonts w:ascii="Times New Roman" w:hAnsi="Times New Roman" w:cs="Times New Roman"/>
          <w:sz w:val="24"/>
          <w:szCs w:val="24"/>
        </w:rPr>
        <w:t xml:space="preserve"> proc. mokinių turėjo normalią kūno masę</w:t>
      </w:r>
      <w:r>
        <w:rPr>
          <w:rFonts w:ascii="Times New Roman" w:hAnsi="Times New Roman" w:cs="Times New Roman"/>
          <w:sz w:val="24"/>
          <w:szCs w:val="24"/>
        </w:rPr>
        <w:t>;</w:t>
      </w:r>
    </w:p>
    <w:p w:rsidR="00A32CC8" w:rsidRDefault="00E43B9D"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8810B6">
        <w:rPr>
          <w:rFonts w:ascii="Times New Roman" w:hAnsi="Times New Roman" w:cs="Times New Roman"/>
          <w:sz w:val="24"/>
          <w:szCs w:val="24"/>
        </w:rPr>
        <w:t xml:space="preserve">agrindinei kūno kultūros grupei priskiriami </w:t>
      </w:r>
      <w:r>
        <w:rPr>
          <w:rFonts w:ascii="Times New Roman" w:hAnsi="Times New Roman" w:cs="Times New Roman"/>
          <w:sz w:val="24"/>
          <w:szCs w:val="24"/>
        </w:rPr>
        <w:t>92,6</w:t>
      </w:r>
      <w:r w:rsidRPr="008810B6">
        <w:rPr>
          <w:rFonts w:ascii="Times New Roman" w:hAnsi="Times New Roman" w:cs="Times New Roman"/>
          <w:sz w:val="24"/>
          <w:szCs w:val="24"/>
        </w:rPr>
        <w:t xml:space="preserve"> proc. mokinių, </w:t>
      </w:r>
      <w:r>
        <w:rPr>
          <w:rFonts w:ascii="Times New Roman" w:hAnsi="Times New Roman" w:cs="Times New Roman"/>
          <w:sz w:val="24"/>
          <w:szCs w:val="24"/>
        </w:rPr>
        <w:t>5</w:t>
      </w:r>
      <w:r w:rsidRPr="008810B6">
        <w:rPr>
          <w:rFonts w:ascii="Times New Roman" w:hAnsi="Times New Roman" w:cs="Times New Roman"/>
          <w:sz w:val="24"/>
          <w:szCs w:val="24"/>
        </w:rPr>
        <w:t xml:space="preserve"> proc. priskirti parengiamajai grupei, 1</w:t>
      </w:r>
      <w:r>
        <w:rPr>
          <w:rFonts w:ascii="Times New Roman" w:hAnsi="Times New Roman" w:cs="Times New Roman"/>
          <w:sz w:val="24"/>
          <w:szCs w:val="24"/>
        </w:rPr>
        <w:t>,1</w:t>
      </w:r>
      <w:r w:rsidRPr="008810B6">
        <w:rPr>
          <w:rFonts w:ascii="Times New Roman" w:hAnsi="Times New Roman" w:cs="Times New Roman"/>
          <w:sz w:val="24"/>
          <w:szCs w:val="24"/>
        </w:rPr>
        <w:t xml:space="preserve"> proc. </w:t>
      </w:r>
      <w:r w:rsidRPr="008810B6">
        <w:rPr>
          <w:rFonts w:ascii="Times New Roman" w:hAnsi="Times New Roman" w:cs="Times New Roman"/>
          <w:b/>
          <w:bCs/>
          <w:sz w:val="24"/>
          <w:szCs w:val="24"/>
        </w:rPr>
        <w:t xml:space="preserve">- </w:t>
      </w:r>
      <w:r w:rsidRPr="008810B6">
        <w:rPr>
          <w:rFonts w:ascii="Times New Roman" w:hAnsi="Times New Roman" w:cs="Times New Roman"/>
          <w:sz w:val="24"/>
          <w:szCs w:val="24"/>
        </w:rPr>
        <w:t>specialiajai kūno kultūros grupei. 1,</w:t>
      </w:r>
      <w:r>
        <w:rPr>
          <w:rFonts w:ascii="Times New Roman" w:hAnsi="Times New Roman" w:cs="Times New Roman"/>
          <w:sz w:val="24"/>
          <w:szCs w:val="24"/>
        </w:rPr>
        <w:t>3</w:t>
      </w:r>
      <w:r w:rsidRPr="008810B6">
        <w:rPr>
          <w:rFonts w:ascii="Times New Roman" w:hAnsi="Times New Roman" w:cs="Times New Roman"/>
          <w:sz w:val="24"/>
          <w:szCs w:val="24"/>
        </w:rPr>
        <w:t xml:space="preserve"> proc. mokinių nuo kūno kultūros pamokų buvo atleisti</w:t>
      </w:r>
      <w:r>
        <w:rPr>
          <w:rFonts w:ascii="Times New Roman" w:hAnsi="Times New Roman" w:cs="Times New Roman"/>
          <w:sz w:val="24"/>
          <w:szCs w:val="24"/>
        </w:rPr>
        <w:t>;</w:t>
      </w:r>
    </w:p>
    <w:p w:rsidR="00E43B9D" w:rsidRDefault="00E43B9D" w:rsidP="003415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2014</w:t>
      </w:r>
      <w:r w:rsidRPr="006E3055">
        <w:rPr>
          <w:rFonts w:ascii="Times New Roman" w:hAnsi="Times New Roman" w:cs="Times New Roman"/>
          <w:sz w:val="24"/>
          <w:szCs w:val="24"/>
        </w:rPr>
        <w:t xml:space="preserve"> mokslo metų pradžioje 6</w:t>
      </w:r>
      <w:r>
        <w:rPr>
          <w:rFonts w:ascii="Times New Roman" w:hAnsi="Times New Roman" w:cs="Times New Roman"/>
          <w:sz w:val="24"/>
          <w:szCs w:val="24"/>
        </w:rPr>
        <w:t>4</w:t>
      </w:r>
      <w:r w:rsidRPr="006E3055">
        <w:rPr>
          <w:rFonts w:ascii="Times New Roman" w:hAnsi="Times New Roman" w:cs="Times New Roman"/>
          <w:sz w:val="24"/>
          <w:szCs w:val="24"/>
        </w:rPr>
        <w:t>,6 proc. profilaktiškai sveikatą pasitikrinusių mokinių dantys buvo sveiki, o likusiems (3</w:t>
      </w:r>
      <w:r>
        <w:rPr>
          <w:rFonts w:ascii="Times New Roman" w:hAnsi="Times New Roman" w:cs="Times New Roman"/>
          <w:sz w:val="24"/>
          <w:szCs w:val="24"/>
        </w:rPr>
        <w:t>5</w:t>
      </w:r>
      <w:r w:rsidRPr="006E3055">
        <w:rPr>
          <w:rFonts w:ascii="Times New Roman" w:hAnsi="Times New Roman" w:cs="Times New Roman"/>
          <w:sz w:val="24"/>
          <w:szCs w:val="24"/>
        </w:rPr>
        <w:t>,4 proc.) buvo nustatyta, kad jų dantys yra sugedę</w:t>
      </w:r>
      <w:r>
        <w:rPr>
          <w:rFonts w:ascii="Times New Roman" w:hAnsi="Times New Roman" w:cs="Times New Roman"/>
          <w:sz w:val="24"/>
          <w:szCs w:val="24"/>
        </w:rPr>
        <w:t>;</w:t>
      </w:r>
    </w:p>
    <w:p w:rsidR="00E43B9D" w:rsidRPr="003415AC" w:rsidRDefault="00E43B9D" w:rsidP="003415AC">
      <w:pPr>
        <w:pStyle w:val="Sraopastraipa"/>
        <w:numPr>
          <w:ilvl w:val="0"/>
          <w:numId w:val="2"/>
        </w:numPr>
        <w:rPr>
          <w:rFonts w:ascii="Times New Roman" w:hAnsi="Times New Roman" w:cs="Times New Roman"/>
          <w:sz w:val="24"/>
          <w:szCs w:val="24"/>
        </w:rPr>
      </w:pPr>
      <w:r w:rsidRPr="00520E38">
        <w:rPr>
          <w:rFonts w:ascii="Times New Roman" w:hAnsi="Times New Roman" w:cs="Times New Roman"/>
          <w:sz w:val="24"/>
          <w:szCs w:val="24"/>
        </w:rPr>
        <w:lastRenderedPageBreak/>
        <w:t xml:space="preserve">62,9 proc. profilaktiškai sveikatą pasitikrinusių mokinių žandikaulio būklė buvo normali ir 37,1 proc. mokinių buvo nustatyta </w:t>
      </w:r>
      <w:proofErr w:type="spellStart"/>
      <w:r w:rsidRPr="00520E38">
        <w:rPr>
          <w:rFonts w:ascii="Times New Roman" w:hAnsi="Times New Roman" w:cs="Times New Roman"/>
          <w:sz w:val="24"/>
          <w:szCs w:val="24"/>
        </w:rPr>
        <w:t>sąkandžio</w:t>
      </w:r>
      <w:proofErr w:type="spellEnd"/>
      <w:r w:rsidRPr="00520E38">
        <w:rPr>
          <w:rFonts w:ascii="Times New Roman" w:hAnsi="Times New Roman" w:cs="Times New Roman"/>
          <w:sz w:val="24"/>
          <w:szCs w:val="24"/>
        </w:rPr>
        <w:t xml:space="preserve"> patologija</w:t>
      </w:r>
      <w:r>
        <w:rPr>
          <w:rFonts w:ascii="Times New Roman" w:hAnsi="Times New Roman" w:cs="Times New Roman"/>
          <w:sz w:val="24"/>
          <w:szCs w:val="24"/>
        </w:rPr>
        <w:t>.</w:t>
      </w:r>
    </w:p>
    <w:p w:rsidR="00E765AD" w:rsidRDefault="00E765AD" w:rsidP="00E765AD">
      <w:pPr>
        <w:rPr>
          <w:rFonts w:ascii="Times New Roman" w:hAnsi="Times New Roman" w:cs="Times New Roman"/>
          <w:sz w:val="24"/>
          <w:szCs w:val="24"/>
        </w:rPr>
      </w:pPr>
    </w:p>
    <w:p w:rsidR="00E765AD" w:rsidRDefault="00E765AD" w:rsidP="00E765AD">
      <w:pPr>
        <w:rPr>
          <w:rFonts w:ascii="Times New Roman" w:hAnsi="Times New Roman" w:cs="Times New Roman"/>
          <w:sz w:val="24"/>
          <w:szCs w:val="24"/>
        </w:rPr>
      </w:pPr>
    </w:p>
    <w:p w:rsidR="007C1DDF" w:rsidRPr="007C1DDF" w:rsidRDefault="007C1DDF" w:rsidP="002929FE">
      <w:pPr>
        <w:rPr>
          <w:rFonts w:ascii="Times New Roman" w:hAnsi="Times New Roman" w:cs="Times New Roman"/>
          <w:sz w:val="24"/>
          <w:szCs w:val="24"/>
        </w:rPr>
      </w:pPr>
    </w:p>
    <w:sectPr w:rsidR="007C1DDF" w:rsidRPr="007C1DDF" w:rsidSect="003365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7493"/>
    <w:multiLevelType w:val="hybridMultilevel"/>
    <w:tmpl w:val="30DAAB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A486E05"/>
    <w:multiLevelType w:val="hybridMultilevel"/>
    <w:tmpl w:val="4CD88FC0"/>
    <w:lvl w:ilvl="0" w:tplc="2F6EDF5C">
      <w:start w:val="1"/>
      <w:numFmt w:val="decimal"/>
      <w:lvlText w:val="%1."/>
      <w:lvlJc w:val="left"/>
      <w:pPr>
        <w:ind w:left="36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06"/>
    <w:rsid w:val="00005475"/>
    <w:rsid w:val="00021888"/>
    <w:rsid w:val="0006421A"/>
    <w:rsid w:val="000F685D"/>
    <w:rsid w:val="001120C7"/>
    <w:rsid w:val="00116200"/>
    <w:rsid w:val="001E753B"/>
    <w:rsid w:val="001F53BD"/>
    <w:rsid w:val="002134FB"/>
    <w:rsid w:val="00231C3F"/>
    <w:rsid w:val="002929FE"/>
    <w:rsid w:val="002B340C"/>
    <w:rsid w:val="002B5E57"/>
    <w:rsid w:val="002D674D"/>
    <w:rsid w:val="0033658E"/>
    <w:rsid w:val="003415AC"/>
    <w:rsid w:val="003833A4"/>
    <w:rsid w:val="0038669D"/>
    <w:rsid w:val="0039505D"/>
    <w:rsid w:val="00427A28"/>
    <w:rsid w:val="004D0B9A"/>
    <w:rsid w:val="005106DD"/>
    <w:rsid w:val="00520E38"/>
    <w:rsid w:val="00526461"/>
    <w:rsid w:val="0053721C"/>
    <w:rsid w:val="00551FC0"/>
    <w:rsid w:val="005B4074"/>
    <w:rsid w:val="005C1110"/>
    <w:rsid w:val="006309DF"/>
    <w:rsid w:val="00642B1B"/>
    <w:rsid w:val="00683DB3"/>
    <w:rsid w:val="006842E9"/>
    <w:rsid w:val="006C5300"/>
    <w:rsid w:val="006E3055"/>
    <w:rsid w:val="00734998"/>
    <w:rsid w:val="00781A73"/>
    <w:rsid w:val="007A5234"/>
    <w:rsid w:val="007C1DDF"/>
    <w:rsid w:val="0080249B"/>
    <w:rsid w:val="008810B6"/>
    <w:rsid w:val="008B0517"/>
    <w:rsid w:val="00911E54"/>
    <w:rsid w:val="00924D1B"/>
    <w:rsid w:val="00961BA0"/>
    <w:rsid w:val="00981FC0"/>
    <w:rsid w:val="00983B90"/>
    <w:rsid w:val="00997751"/>
    <w:rsid w:val="009A0F59"/>
    <w:rsid w:val="00A10525"/>
    <w:rsid w:val="00A10ACF"/>
    <w:rsid w:val="00A32CC8"/>
    <w:rsid w:val="00A439C9"/>
    <w:rsid w:val="00B04302"/>
    <w:rsid w:val="00B44533"/>
    <w:rsid w:val="00B51082"/>
    <w:rsid w:val="00B6155F"/>
    <w:rsid w:val="00C07B06"/>
    <w:rsid w:val="00C6229B"/>
    <w:rsid w:val="00C7600A"/>
    <w:rsid w:val="00CA0D3B"/>
    <w:rsid w:val="00CA2C36"/>
    <w:rsid w:val="00CB7F23"/>
    <w:rsid w:val="00CC7EDC"/>
    <w:rsid w:val="00CD755C"/>
    <w:rsid w:val="00CE2947"/>
    <w:rsid w:val="00D2169A"/>
    <w:rsid w:val="00D32AFA"/>
    <w:rsid w:val="00D535C8"/>
    <w:rsid w:val="00D548B8"/>
    <w:rsid w:val="00DA1F99"/>
    <w:rsid w:val="00DE5BA3"/>
    <w:rsid w:val="00E20217"/>
    <w:rsid w:val="00E43B9D"/>
    <w:rsid w:val="00E66FCF"/>
    <w:rsid w:val="00E765AD"/>
    <w:rsid w:val="00E8050F"/>
    <w:rsid w:val="00E84B55"/>
    <w:rsid w:val="00EF2E06"/>
    <w:rsid w:val="00F44B38"/>
    <w:rsid w:val="00F93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2E06"/>
    <w:pPr>
      <w:spacing w:after="0" w:line="360" w:lineRule="auto"/>
      <w:jc w:val="both"/>
    </w:pPr>
  </w:style>
  <w:style w:type="paragraph" w:styleId="Antrat1">
    <w:name w:val="heading 1"/>
    <w:basedOn w:val="prastasis"/>
    <w:next w:val="prastasis"/>
    <w:link w:val="Antrat1Diagrama"/>
    <w:uiPriority w:val="9"/>
    <w:qFormat/>
    <w:rsid w:val="00E20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2E06"/>
    <w:pPr>
      <w:ind w:left="720"/>
      <w:contextualSpacing/>
    </w:pPr>
  </w:style>
  <w:style w:type="paragraph" w:styleId="Debesliotekstas">
    <w:name w:val="Balloon Text"/>
    <w:basedOn w:val="prastasis"/>
    <w:link w:val="DebesliotekstasDiagrama"/>
    <w:uiPriority w:val="99"/>
    <w:semiHidden/>
    <w:unhideWhenUsed/>
    <w:rsid w:val="008B051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0517"/>
    <w:rPr>
      <w:rFonts w:ascii="Tahoma" w:hAnsi="Tahoma" w:cs="Tahoma"/>
      <w:sz w:val="16"/>
      <w:szCs w:val="16"/>
    </w:rPr>
  </w:style>
  <w:style w:type="character" w:customStyle="1" w:styleId="Antrat1Diagrama">
    <w:name w:val="Antraštė 1 Diagrama"/>
    <w:basedOn w:val="Numatytasispastraiposriftas"/>
    <w:link w:val="Antrat1"/>
    <w:uiPriority w:val="9"/>
    <w:rsid w:val="00E2021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29FE"/>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semiHidden/>
    <w:unhideWhenUsed/>
    <w:rsid w:val="00C6229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2E06"/>
    <w:pPr>
      <w:spacing w:after="0" w:line="360" w:lineRule="auto"/>
      <w:jc w:val="both"/>
    </w:pPr>
  </w:style>
  <w:style w:type="paragraph" w:styleId="Antrat1">
    <w:name w:val="heading 1"/>
    <w:basedOn w:val="prastasis"/>
    <w:next w:val="prastasis"/>
    <w:link w:val="Antrat1Diagrama"/>
    <w:uiPriority w:val="9"/>
    <w:qFormat/>
    <w:rsid w:val="00E20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F2E06"/>
    <w:pPr>
      <w:ind w:left="720"/>
      <w:contextualSpacing/>
    </w:pPr>
  </w:style>
  <w:style w:type="paragraph" w:styleId="Debesliotekstas">
    <w:name w:val="Balloon Text"/>
    <w:basedOn w:val="prastasis"/>
    <w:link w:val="DebesliotekstasDiagrama"/>
    <w:uiPriority w:val="99"/>
    <w:semiHidden/>
    <w:unhideWhenUsed/>
    <w:rsid w:val="008B051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0517"/>
    <w:rPr>
      <w:rFonts w:ascii="Tahoma" w:hAnsi="Tahoma" w:cs="Tahoma"/>
      <w:sz w:val="16"/>
      <w:szCs w:val="16"/>
    </w:rPr>
  </w:style>
  <w:style w:type="character" w:customStyle="1" w:styleId="Antrat1Diagrama">
    <w:name w:val="Antraštė 1 Diagrama"/>
    <w:basedOn w:val="Numatytasispastraiposriftas"/>
    <w:link w:val="Antrat1"/>
    <w:uiPriority w:val="9"/>
    <w:rsid w:val="00E2021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29FE"/>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semiHidden/>
    <w:unhideWhenUsed/>
    <w:rsid w:val="00C6229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ERIS\Users\ievval\My%20Documents\vaiku%20patikrinimai%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2113517060367455E-2"/>
                  <c:y val="8.2549577136191311E-3"/>
                </c:manualLayout>
              </c:layout>
              <c:showLegendKey val="0"/>
              <c:showVal val="1"/>
              <c:showCatName val="0"/>
              <c:showSerName val="0"/>
              <c:showPercent val="0"/>
              <c:showBubbleSize val="0"/>
            </c:dLbl>
            <c:dLbl>
              <c:idx val="1"/>
              <c:layout>
                <c:manualLayout>
                  <c:x val="1.1126859142607174E-2"/>
                  <c:y val="3.146689997083698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Lapas1!$A$2:$A$3</c:f>
              <c:strCache>
                <c:ptCount val="2"/>
                <c:pt idx="0">
                  <c:v>Profilaktiškai pasitikrinę savo sveikatą</c:v>
                </c:pt>
                <c:pt idx="1">
                  <c:v>Profilaktiškai nepasitikrinę savo sveikatos</c:v>
                </c:pt>
              </c:strCache>
            </c:strRef>
          </c:cat>
          <c:val>
            <c:numRef>
              <c:f>Lapas1!$B$2:$B$3</c:f>
              <c:numCache>
                <c:formatCode>0%</c:formatCode>
                <c:ptCount val="2"/>
                <c:pt idx="0">
                  <c:v>0.94</c:v>
                </c:pt>
                <c:pt idx="1">
                  <c:v>0.06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Lapas1!$A$119:$A$130</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Lapas1!$B$119:$B$130</c:f>
              <c:numCache>
                <c:formatCode>General</c:formatCode>
                <c:ptCount val="12"/>
                <c:pt idx="0">
                  <c:v>7.7</c:v>
                </c:pt>
                <c:pt idx="1">
                  <c:v>9</c:v>
                </c:pt>
                <c:pt idx="2">
                  <c:v>10</c:v>
                </c:pt>
                <c:pt idx="3">
                  <c:v>10.6</c:v>
                </c:pt>
                <c:pt idx="4">
                  <c:v>15.5</c:v>
                </c:pt>
                <c:pt idx="5">
                  <c:v>15.4</c:v>
                </c:pt>
                <c:pt idx="6">
                  <c:v>13.1</c:v>
                </c:pt>
                <c:pt idx="7">
                  <c:v>13.4</c:v>
                </c:pt>
                <c:pt idx="8">
                  <c:v>13.8</c:v>
                </c:pt>
                <c:pt idx="9">
                  <c:v>13.4</c:v>
                </c:pt>
                <c:pt idx="10">
                  <c:v>12.9</c:v>
                </c:pt>
                <c:pt idx="11">
                  <c:v>13.6</c:v>
                </c:pt>
              </c:numCache>
            </c:numRef>
          </c:val>
        </c:ser>
        <c:dLbls>
          <c:showLegendKey val="0"/>
          <c:showVal val="0"/>
          <c:showCatName val="0"/>
          <c:showSerName val="0"/>
          <c:showPercent val="0"/>
          <c:showBubbleSize val="0"/>
        </c:dLbls>
        <c:gapWidth val="150"/>
        <c:shape val="box"/>
        <c:axId val="151665280"/>
        <c:axId val="151675264"/>
        <c:axId val="0"/>
      </c:bar3DChart>
      <c:catAx>
        <c:axId val="151665280"/>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675264"/>
        <c:crosses val="autoZero"/>
        <c:auto val="1"/>
        <c:lblAlgn val="ctr"/>
        <c:lblOffset val="100"/>
        <c:noMultiLvlLbl val="0"/>
      </c:catAx>
      <c:valAx>
        <c:axId val="151675264"/>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66528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Lapas1!$A$153</c:f>
              <c:strCache>
                <c:ptCount val="1"/>
                <c:pt idx="0">
                  <c:v>Vaikai, turintys kraujotakos sistemos sutrikimų</c:v>
                </c:pt>
              </c:strCache>
            </c:strRef>
          </c:tx>
          <c:invertIfNegative val="0"/>
          <c:cat>
            <c:numRef>
              <c:f>Lapas1!$B$152:$F$152</c:f>
              <c:numCache>
                <c:formatCode>General</c:formatCode>
                <c:ptCount val="5"/>
                <c:pt idx="0">
                  <c:v>2010</c:v>
                </c:pt>
                <c:pt idx="1">
                  <c:v>2011</c:v>
                </c:pt>
                <c:pt idx="2">
                  <c:v>2012</c:v>
                </c:pt>
                <c:pt idx="3">
                  <c:v>2013</c:v>
                </c:pt>
                <c:pt idx="4">
                  <c:v>2014</c:v>
                </c:pt>
              </c:numCache>
            </c:numRef>
          </c:cat>
          <c:val>
            <c:numRef>
              <c:f>Lapas1!$B$153:$F$153</c:f>
              <c:numCache>
                <c:formatCode>General</c:formatCode>
                <c:ptCount val="5"/>
                <c:pt idx="0">
                  <c:v>9.5</c:v>
                </c:pt>
                <c:pt idx="1">
                  <c:v>9.4</c:v>
                </c:pt>
                <c:pt idx="2">
                  <c:v>9.5</c:v>
                </c:pt>
                <c:pt idx="3">
                  <c:v>10.3</c:v>
                </c:pt>
                <c:pt idx="4">
                  <c:v>12.4</c:v>
                </c:pt>
              </c:numCache>
            </c:numRef>
          </c:val>
        </c:ser>
        <c:dLbls>
          <c:showLegendKey val="0"/>
          <c:showVal val="0"/>
          <c:showCatName val="0"/>
          <c:showSerName val="0"/>
          <c:showPercent val="0"/>
          <c:showBubbleSize val="0"/>
        </c:dLbls>
        <c:gapWidth val="150"/>
        <c:shape val="box"/>
        <c:axId val="151786240"/>
        <c:axId val="151788160"/>
        <c:axId val="0"/>
      </c:bar3DChart>
      <c:catAx>
        <c:axId val="151786240"/>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Metai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788160"/>
        <c:crosses val="autoZero"/>
        <c:auto val="1"/>
        <c:lblAlgn val="ctr"/>
        <c:lblOffset val="100"/>
        <c:noMultiLvlLbl val="0"/>
      </c:catAx>
      <c:valAx>
        <c:axId val="151788160"/>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78624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Lapas1!$A$135:$A$146</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Lapas1!$B$135:$B$146</c:f>
              <c:numCache>
                <c:formatCode>General</c:formatCode>
                <c:ptCount val="12"/>
                <c:pt idx="0">
                  <c:v>8.6999999999999993</c:v>
                </c:pt>
                <c:pt idx="1">
                  <c:v>9.6</c:v>
                </c:pt>
                <c:pt idx="2">
                  <c:v>10.3</c:v>
                </c:pt>
                <c:pt idx="3">
                  <c:v>11.5</c:v>
                </c:pt>
                <c:pt idx="4">
                  <c:v>15.1</c:v>
                </c:pt>
                <c:pt idx="5">
                  <c:v>13.1</c:v>
                </c:pt>
                <c:pt idx="6">
                  <c:v>12.6</c:v>
                </c:pt>
                <c:pt idx="7">
                  <c:v>12.8</c:v>
                </c:pt>
                <c:pt idx="8">
                  <c:v>14.5</c:v>
                </c:pt>
                <c:pt idx="9">
                  <c:v>12.6</c:v>
                </c:pt>
                <c:pt idx="10">
                  <c:v>14.4</c:v>
                </c:pt>
                <c:pt idx="11">
                  <c:v>16.3</c:v>
                </c:pt>
              </c:numCache>
            </c:numRef>
          </c:val>
        </c:ser>
        <c:dLbls>
          <c:showLegendKey val="0"/>
          <c:showVal val="0"/>
          <c:showCatName val="0"/>
          <c:showSerName val="0"/>
          <c:showPercent val="0"/>
          <c:showBubbleSize val="0"/>
        </c:dLbls>
        <c:gapWidth val="150"/>
        <c:shape val="box"/>
        <c:axId val="151809408"/>
        <c:axId val="151815296"/>
        <c:axId val="0"/>
      </c:bar3DChart>
      <c:catAx>
        <c:axId val="151809408"/>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815296"/>
        <c:crosses val="autoZero"/>
        <c:auto val="1"/>
        <c:lblAlgn val="ctr"/>
        <c:lblOffset val="100"/>
        <c:noMultiLvlLbl val="0"/>
      </c:catAx>
      <c:valAx>
        <c:axId val="151815296"/>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80940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Lapas1!$A$159</c:f>
              <c:strCache>
                <c:ptCount val="1"/>
                <c:pt idx="0">
                  <c:v>Vaikai, turintys nervų sistemos sutrikimų</c:v>
                </c:pt>
              </c:strCache>
            </c:strRef>
          </c:tx>
          <c:invertIfNegative val="0"/>
          <c:dLbls>
            <c:showLegendKey val="0"/>
            <c:showVal val="1"/>
            <c:showCatName val="0"/>
            <c:showSerName val="0"/>
            <c:showPercent val="0"/>
            <c:showBubbleSize val="0"/>
            <c:showLeaderLines val="0"/>
          </c:dLbls>
          <c:cat>
            <c:numRef>
              <c:f>Lapas1!$B$158:$F$158</c:f>
              <c:numCache>
                <c:formatCode>General</c:formatCode>
                <c:ptCount val="5"/>
                <c:pt idx="0">
                  <c:v>2010</c:v>
                </c:pt>
                <c:pt idx="1">
                  <c:v>2011</c:v>
                </c:pt>
                <c:pt idx="2">
                  <c:v>2012</c:v>
                </c:pt>
                <c:pt idx="3">
                  <c:v>2013</c:v>
                </c:pt>
                <c:pt idx="4">
                  <c:v>2014</c:v>
                </c:pt>
              </c:numCache>
            </c:numRef>
          </c:cat>
          <c:val>
            <c:numRef>
              <c:f>Lapas1!$B$159:$F$159</c:f>
              <c:numCache>
                <c:formatCode>General</c:formatCode>
                <c:ptCount val="5"/>
                <c:pt idx="0">
                  <c:v>4.0999999999999996</c:v>
                </c:pt>
                <c:pt idx="1">
                  <c:v>4</c:v>
                </c:pt>
                <c:pt idx="2">
                  <c:v>3.9</c:v>
                </c:pt>
                <c:pt idx="3">
                  <c:v>5.0999999999999996</c:v>
                </c:pt>
                <c:pt idx="4">
                  <c:v>5</c:v>
                </c:pt>
              </c:numCache>
            </c:numRef>
          </c:val>
        </c:ser>
        <c:dLbls>
          <c:showLegendKey val="0"/>
          <c:showVal val="0"/>
          <c:showCatName val="0"/>
          <c:showSerName val="0"/>
          <c:showPercent val="0"/>
          <c:showBubbleSize val="0"/>
        </c:dLbls>
        <c:gapWidth val="150"/>
        <c:shape val="box"/>
        <c:axId val="151841024"/>
        <c:axId val="151724416"/>
        <c:axId val="0"/>
      </c:bar3DChart>
      <c:catAx>
        <c:axId val="15184102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Metai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724416"/>
        <c:crosses val="autoZero"/>
        <c:auto val="1"/>
        <c:lblAlgn val="ctr"/>
        <c:lblOffset val="100"/>
        <c:noMultiLvlLbl val="0"/>
      </c:catAx>
      <c:valAx>
        <c:axId val="151724416"/>
        <c:scaling>
          <c:orientation val="minMax"/>
        </c:scaling>
        <c:delete val="0"/>
        <c:axPos val="l"/>
        <c:majorGridlines/>
        <c:title>
          <c:tx>
            <c:rich>
              <a:bodyPr rot="-5400000" vert="horz"/>
              <a:lstStyle/>
              <a:p>
                <a:pPr>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crossAx val="1518410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Lapas1!$A$164:$A$175</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Lapas1!$B$164:$B$175</c:f>
              <c:numCache>
                <c:formatCode>General</c:formatCode>
                <c:ptCount val="12"/>
                <c:pt idx="0">
                  <c:v>3.3</c:v>
                </c:pt>
                <c:pt idx="1">
                  <c:v>4</c:v>
                </c:pt>
                <c:pt idx="2">
                  <c:v>4</c:v>
                </c:pt>
                <c:pt idx="3">
                  <c:v>4.0999999999999996</c:v>
                </c:pt>
                <c:pt idx="4">
                  <c:v>6.3</c:v>
                </c:pt>
                <c:pt idx="5">
                  <c:v>5.0999999999999996</c:v>
                </c:pt>
                <c:pt idx="6">
                  <c:v>6.2</c:v>
                </c:pt>
                <c:pt idx="7">
                  <c:v>4.9000000000000004</c:v>
                </c:pt>
                <c:pt idx="8">
                  <c:v>5.5</c:v>
                </c:pt>
                <c:pt idx="9">
                  <c:v>5.3</c:v>
                </c:pt>
                <c:pt idx="10">
                  <c:v>6.4</c:v>
                </c:pt>
                <c:pt idx="11">
                  <c:v>6.7</c:v>
                </c:pt>
              </c:numCache>
            </c:numRef>
          </c:val>
        </c:ser>
        <c:dLbls>
          <c:showLegendKey val="0"/>
          <c:showVal val="0"/>
          <c:showCatName val="0"/>
          <c:showSerName val="0"/>
          <c:showPercent val="0"/>
          <c:showBubbleSize val="0"/>
        </c:dLbls>
        <c:gapWidth val="150"/>
        <c:shape val="box"/>
        <c:axId val="151745664"/>
        <c:axId val="151747200"/>
        <c:axId val="0"/>
      </c:bar3DChart>
      <c:catAx>
        <c:axId val="151745664"/>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747200"/>
        <c:crosses val="autoZero"/>
        <c:auto val="1"/>
        <c:lblAlgn val="ctr"/>
        <c:lblOffset val="100"/>
        <c:noMultiLvlLbl val="0"/>
      </c:catAx>
      <c:valAx>
        <c:axId val="151747200"/>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745664"/>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Lapas1!$A$179</c:f>
              <c:strCache>
                <c:ptCount val="1"/>
                <c:pt idx="0">
                  <c:v>Vaikai, turintys virškinimo sistemos sutrikimų</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numRef>
              <c:f>Lapas1!$B$178:$F$178</c:f>
              <c:numCache>
                <c:formatCode>General</c:formatCode>
                <c:ptCount val="5"/>
                <c:pt idx="0">
                  <c:v>2010</c:v>
                </c:pt>
                <c:pt idx="1">
                  <c:v>2011</c:v>
                </c:pt>
                <c:pt idx="2">
                  <c:v>2012</c:v>
                </c:pt>
                <c:pt idx="3">
                  <c:v>2013</c:v>
                </c:pt>
                <c:pt idx="4">
                  <c:v>2014</c:v>
                </c:pt>
              </c:numCache>
            </c:numRef>
          </c:cat>
          <c:val>
            <c:numRef>
              <c:f>Lapas1!$B$179:$F$179</c:f>
              <c:numCache>
                <c:formatCode>General</c:formatCode>
                <c:ptCount val="5"/>
                <c:pt idx="0">
                  <c:v>1.5</c:v>
                </c:pt>
                <c:pt idx="1">
                  <c:v>1.5</c:v>
                </c:pt>
                <c:pt idx="2">
                  <c:v>1.4</c:v>
                </c:pt>
                <c:pt idx="3">
                  <c:v>1.4</c:v>
                </c:pt>
                <c:pt idx="4">
                  <c:v>1.3</c:v>
                </c:pt>
              </c:numCache>
            </c:numRef>
          </c:val>
        </c:ser>
        <c:dLbls>
          <c:showLegendKey val="0"/>
          <c:showVal val="0"/>
          <c:showCatName val="0"/>
          <c:showSerName val="0"/>
          <c:showPercent val="0"/>
          <c:showBubbleSize val="0"/>
        </c:dLbls>
        <c:gapWidth val="150"/>
        <c:shape val="box"/>
        <c:axId val="151534592"/>
        <c:axId val="151540864"/>
        <c:axId val="0"/>
      </c:bar3DChart>
      <c:catAx>
        <c:axId val="15153459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Metai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540864"/>
        <c:crosses val="autoZero"/>
        <c:auto val="1"/>
        <c:lblAlgn val="ctr"/>
        <c:lblOffset val="100"/>
        <c:noMultiLvlLbl val="0"/>
      </c:catAx>
      <c:valAx>
        <c:axId val="151540864"/>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53459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Lapas1!$A$182:$A$193</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Lapas1!$B$182:$B$193</c:f>
              <c:numCache>
                <c:formatCode>General</c:formatCode>
                <c:ptCount val="12"/>
                <c:pt idx="0">
                  <c:v>2.2000000000000002</c:v>
                </c:pt>
                <c:pt idx="1">
                  <c:v>2.4</c:v>
                </c:pt>
                <c:pt idx="2">
                  <c:v>1.9</c:v>
                </c:pt>
                <c:pt idx="3">
                  <c:v>1.8</c:v>
                </c:pt>
                <c:pt idx="4">
                  <c:v>0.8</c:v>
                </c:pt>
                <c:pt idx="5">
                  <c:v>0.8</c:v>
                </c:pt>
                <c:pt idx="6">
                  <c:v>0.8</c:v>
                </c:pt>
                <c:pt idx="7">
                  <c:v>0.9</c:v>
                </c:pt>
                <c:pt idx="8">
                  <c:v>1.2</c:v>
                </c:pt>
                <c:pt idx="9">
                  <c:v>1.2</c:v>
                </c:pt>
                <c:pt idx="10">
                  <c:v>0.7</c:v>
                </c:pt>
                <c:pt idx="11">
                  <c:v>0.6</c:v>
                </c:pt>
              </c:numCache>
            </c:numRef>
          </c:val>
        </c:ser>
        <c:dLbls>
          <c:showLegendKey val="0"/>
          <c:showVal val="0"/>
          <c:showCatName val="0"/>
          <c:showSerName val="0"/>
          <c:showPercent val="0"/>
          <c:showBubbleSize val="0"/>
        </c:dLbls>
        <c:gapWidth val="150"/>
        <c:shape val="box"/>
        <c:axId val="151566592"/>
        <c:axId val="151576576"/>
        <c:axId val="0"/>
      </c:bar3DChart>
      <c:catAx>
        <c:axId val="151566592"/>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576576"/>
        <c:crosses val="autoZero"/>
        <c:auto val="1"/>
        <c:lblAlgn val="ctr"/>
        <c:lblOffset val="100"/>
        <c:noMultiLvlLbl val="0"/>
      </c:catAx>
      <c:valAx>
        <c:axId val="151576576"/>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crossAx val="151566592"/>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Lapas1!$A$197</c:f>
              <c:strCache>
                <c:ptCount val="1"/>
                <c:pt idx="0">
                  <c:v>Vaikai, turintys endokrininės sistemos sutrikimų</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numRef>
              <c:f>Lapas1!$B$196:$F$196</c:f>
              <c:numCache>
                <c:formatCode>General</c:formatCode>
                <c:ptCount val="5"/>
                <c:pt idx="0">
                  <c:v>2010</c:v>
                </c:pt>
                <c:pt idx="1">
                  <c:v>2011</c:v>
                </c:pt>
                <c:pt idx="2">
                  <c:v>2012</c:v>
                </c:pt>
                <c:pt idx="3">
                  <c:v>2013</c:v>
                </c:pt>
                <c:pt idx="4">
                  <c:v>2014</c:v>
                </c:pt>
              </c:numCache>
            </c:numRef>
          </c:cat>
          <c:val>
            <c:numRef>
              <c:f>Lapas1!$B$197:$F$197</c:f>
              <c:numCache>
                <c:formatCode>General</c:formatCode>
                <c:ptCount val="5"/>
                <c:pt idx="0">
                  <c:v>3.5</c:v>
                </c:pt>
                <c:pt idx="1">
                  <c:v>3.6</c:v>
                </c:pt>
                <c:pt idx="2">
                  <c:v>3.5</c:v>
                </c:pt>
                <c:pt idx="3">
                  <c:v>4.7</c:v>
                </c:pt>
                <c:pt idx="4">
                  <c:v>5.6</c:v>
                </c:pt>
              </c:numCache>
            </c:numRef>
          </c:val>
        </c:ser>
        <c:dLbls>
          <c:showLegendKey val="0"/>
          <c:showVal val="0"/>
          <c:showCatName val="0"/>
          <c:showSerName val="0"/>
          <c:showPercent val="0"/>
          <c:showBubbleSize val="0"/>
        </c:dLbls>
        <c:gapWidth val="150"/>
        <c:shape val="box"/>
        <c:axId val="151593344"/>
        <c:axId val="151595264"/>
        <c:axId val="0"/>
      </c:bar3DChart>
      <c:catAx>
        <c:axId val="15159334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Metai</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595264"/>
        <c:crosses val="autoZero"/>
        <c:auto val="1"/>
        <c:lblAlgn val="ctr"/>
        <c:lblOffset val="100"/>
        <c:noMultiLvlLbl val="0"/>
      </c:catAx>
      <c:valAx>
        <c:axId val="151595264"/>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crossAx val="15159334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Lapas1!$A$200:$A$211</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Lapas1!$B$200:$B$211</c:f>
              <c:numCache>
                <c:formatCode>General</c:formatCode>
                <c:ptCount val="12"/>
                <c:pt idx="0">
                  <c:v>5</c:v>
                </c:pt>
                <c:pt idx="1">
                  <c:v>5.7</c:v>
                </c:pt>
                <c:pt idx="2">
                  <c:v>7.1</c:v>
                </c:pt>
                <c:pt idx="3">
                  <c:v>6.3</c:v>
                </c:pt>
                <c:pt idx="4">
                  <c:v>8.3000000000000007</c:v>
                </c:pt>
                <c:pt idx="5">
                  <c:v>6.4</c:v>
                </c:pt>
                <c:pt idx="6">
                  <c:v>6.5</c:v>
                </c:pt>
                <c:pt idx="7">
                  <c:v>5.8</c:v>
                </c:pt>
                <c:pt idx="8">
                  <c:v>6</c:v>
                </c:pt>
                <c:pt idx="9">
                  <c:v>4.5</c:v>
                </c:pt>
                <c:pt idx="10">
                  <c:v>3.4</c:v>
                </c:pt>
                <c:pt idx="11">
                  <c:v>2.7</c:v>
                </c:pt>
              </c:numCache>
            </c:numRef>
          </c:val>
        </c:ser>
        <c:dLbls>
          <c:showLegendKey val="0"/>
          <c:showVal val="0"/>
          <c:showCatName val="0"/>
          <c:showSerName val="0"/>
          <c:showPercent val="0"/>
          <c:showBubbleSize val="0"/>
        </c:dLbls>
        <c:gapWidth val="150"/>
        <c:shape val="box"/>
        <c:axId val="151624704"/>
        <c:axId val="151634688"/>
        <c:axId val="0"/>
      </c:bar3DChart>
      <c:catAx>
        <c:axId val="151624704"/>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634688"/>
        <c:crosses val="autoZero"/>
        <c:auto val="1"/>
        <c:lblAlgn val="ctr"/>
        <c:lblOffset val="100"/>
        <c:noMultiLvlLbl val="0"/>
      </c:catAx>
      <c:valAx>
        <c:axId val="151634688"/>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1624704"/>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30"/>
      <c:rotY val="230"/>
      <c:rAngAx val="0"/>
      <c:perspective val="10"/>
    </c:view3D>
    <c:floor>
      <c:thickness val="0"/>
    </c:floor>
    <c:sideWall>
      <c:thickness val="0"/>
    </c:sideWall>
    <c:backWall>
      <c:thickness val="0"/>
    </c:backWall>
    <c:plotArea>
      <c:layout/>
      <c:pie3DChart>
        <c:varyColors val="1"/>
        <c:ser>
          <c:idx val="0"/>
          <c:order val="0"/>
          <c:dLbls>
            <c:dLbl>
              <c:idx val="0"/>
              <c:layout>
                <c:manualLayout>
                  <c:x val="-2.6328151288781208E-2"/>
                  <c:y val="-3.7552493438320213E-2"/>
                </c:manualLayout>
              </c:layout>
              <c:showLegendKey val="0"/>
              <c:showVal val="1"/>
              <c:showCatName val="0"/>
              <c:showSerName val="0"/>
              <c:showPercent val="0"/>
              <c:showBubbleSize val="0"/>
            </c:dLbl>
            <c:dLbl>
              <c:idx val="1"/>
              <c:layout>
                <c:manualLayout>
                  <c:x val="-6.2956036745406826E-2"/>
                  <c:y val="-4.893190434529017E-2"/>
                </c:manualLayout>
              </c:layout>
              <c:showLegendKey val="0"/>
              <c:showVal val="1"/>
              <c:showCatName val="0"/>
              <c:showSerName val="0"/>
              <c:showPercent val="0"/>
              <c:showBubbleSize val="0"/>
            </c:dLbl>
            <c:dLbl>
              <c:idx val="2"/>
              <c:layout>
                <c:manualLayout>
                  <c:x val="3.6299212598425196E-2"/>
                  <c:y val="3.8623140857392824E-2"/>
                </c:manualLayout>
              </c:layout>
              <c:showLegendKey val="0"/>
              <c:showVal val="1"/>
              <c:showCatName val="0"/>
              <c:showSerName val="0"/>
              <c:showPercent val="0"/>
              <c:showBubbleSize val="0"/>
            </c:dLbl>
            <c:dLbl>
              <c:idx val="3"/>
              <c:layout>
                <c:manualLayout>
                  <c:x val="9.2262505648332428E-3"/>
                  <c:y val="1.2277631962671332E-2"/>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Lapas1!$A$215:$A$218</c:f>
              <c:strCache>
                <c:ptCount val="4"/>
                <c:pt idx="0">
                  <c:v>Per mažas svoris</c:v>
                </c:pt>
                <c:pt idx="1">
                  <c:v>Normalus svoris</c:v>
                </c:pt>
                <c:pt idx="2">
                  <c:v>Antsvoris</c:v>
                </c:pt>
                <c:pt idx="3">
                  <c:v>Nutukimas</c:v>
                </c:pt>
              </c:strCache>
            </c:strRef>
          </c:cat>
          <c:val>
            <c:numRef>
              <c:f>Lapas1!$B$215:$B$218</c:f>
              <c:numCache>
                <c:formatCode>General</c:formatCode>
                <c:ptCount val="4"/>
                <c:pt idx="0">
                  <c:v>4.3</c:v>
                </c:pt>
                <c:pt idx="1">
                  <c:v>86.9</c:v>
                </c:pt>
                <c:pt idx="2">
                  <c:v>5.3</c:v>
                </c:pt>
                <c:pt idx="3">
                  <c:v>3.5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Lapas1!$A$14:$A$22</c:f>
              <c:strCache>
                <c:ptCount val="9"/>
                <c:pt idx="0">
                  <c:v>Klausos sistemos sutrikimai</c:v>
                </c:pt>
                <c:pt idx="1">
                  <c:v>Regos sistemos sutrikimai</c:v>
                </c:pt>
                <c:pt idx="2">
                  <c:v>Kraujotakos sistemos sutrikimai</c:v>
                </c:pt>
                <c:pt idx="3">
                  <c:v>Kvėpavimo sistemos sutrikimai</c:v>
                </c:pt>
                <c:pt idx="4">
                  <c:v>Nervų sistemos sutrikimai</c:v>
                </c:pt>
                <c:pt idx="5">
                  <c:v>Virškinimo sistemos sutrikimai</c:v>
                </c:pt>
                <c:pt idx="6">
                  <c:v>Endokrininės sistemos sutrikimai</c:v>
                </c:pt>
                <c:pt idx="7">
                  <c:v>Skeleto-raumenų sistemos sutrikimai</c:v>
                </c:pt>
                <c:pt idx="8">
                  <c:v>Odos ir jos priedų ligos</c:v>
                </c:pt>
              </c:strCache>
            </c:strRef>
          </c:cat>
          <c:val>
            <c:numRef>
              <c:f>Lapas1!$B$14:$B$22</c:f>
              <c:numCache>
                <c:formatCode>General</c:formatCode>
                <c:ptCount val="9"/>
                <c:pt idx="0">
                  <c:v>0.6</c:v>
                </c:pt>
                <c:pt idx="1">
                  <c:v>48.5</c:v>
                </c:pt>
                <c:pt idx="2">
                  <c:v>12.4</c:v>
                </c:pt>
                <c:pt idx="3">
                  <c:v>12.1</c:v>
                </c:pt>
                <c:pt idx="4">
                  <c:v>5</c:v>
                </c:pt>
                <c:pt idx="5">
                  <c:v>1.3</c:v>
                </c:pt>
                <c:pt idx="6">
                  <c:v>5.6</c:v>
                </c:pt>
                <c:pt idx="7">
                  <c:v>34.6</c:v>
                </c:pt>
                <c:pt idx="8">
                  <c:v>2.2000000000000002</c:v>
                </c:pt>
              </c:numCache>
            </c:numRef>
          </c:val>
        </c:ser>
        <c:dLbls>
          <c:showLegendKey val="0"/>
          <c:showVal val="0"/>
          <c:showCatName val="0"/>
          <c:showSerName val="0"/>
          <c:showPercent val="0"/>
          <c:showBubbleSize val="0"/>
        </c:dLbls>
        <c:gapWidth val="150"/>
        <c:axId val="12094464"/>
        <c:axId val="12112640"/>
      </c:barChart>
      <c:catAx>
        <c:axId val="12094464"/>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2112640"/>
        <c:crosses val="autoZero"/>
        <c:auto val="1"/>
        <c:lblAlgn val="ctr"/>
        <c:lblOffset val="100"/>
        <c:noMultiLvlLbl val="0"/>
      </c:catAx>
      <c:valAx>
        <c:axId val="12112640"/>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crossAx val="12094464"/>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Lapas1!$A$221:$A$232</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Lapas1!$B$221:$B$232</c:f>
              <c:numCache>
                <c:formatCode>General</c:formatCode>
                <c:ptCount val="12"/>
                <c:pt idx="0">
                  <c:v>78.7</c:v>
                </c:pt>
                <c:pt idx="1">
                  <c:v>79.599999999999994</c:v>
                </c:pt>
                <c:pt idx="2">
                  <c:v>82.4</c:v>
                </c:pt>
                <c:pt idx="3">
                  <c:v>83.4</c:v>
                </c:pt>
                <c:pt idx="4">
                  <c:v>85.8</c:v>
                </c:pt>
                <c:pt idx="5">
                  <c:v>88.3</c:v>
                </c:pt>
                <c:pt idx="6">
                  <c:v>87.9</c:v>
                </c:pt>
                <c:pt idx="7">
                  <c:v>89.1</c:v>
                </c:pt>
                <c:pt idx="8">
                  <c:v>85.8</c:v>
                </c:pt>
                <c:pt idx="9">
                  <c:v>88.3</c:v>
                </c:pt>
                <c:pt idx="10">
                  <c:v>87.2</c:v>
                </c:pt>
                <c:pt idx="11">
                  <c:v>87.1</c:v>
                </c:pt>
              </c:numCache>
            </c:numRef>
          </c:val>
        </c:ser>
        <c:dLbls>
          <c:showLegendKey val="0"/>
          <c:showVal val="0"/>
          <c:showCatName val="0"/>
          <c:showSerName val="0"/>
          <c:showPercent val="0"/>
          <c:showBubbleSize val="0"/>
        </c:dLbls>
        <c:gapWidth val="150"/>
        <c:shape val="box"/>
        <c:axId val="152169856"/>
        <c:axId val="152175744"/>
        <c:axId val="0"/>
      </c:bar3DChart>
      <c:catAx>
        <c:axId val="152169856"/>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2175744"/>
        <c:crosses val="autoZero"/>
        <c:auto val="1"/>
        <c:lblAlgn val="ctr"/>
        <c:lblOffset val="100"/>
        <c:noMultiLvlLbl val="0"/>
      </c:catAx>
      <c:valAx>
        <c:axId val="152175744"/>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2169856"/>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190"/>
      <c:rAngAx val="0"/>
      <c:perspective val="30"/>
    </c:view3D>
    <c:floor>
      <c:thickness val="0"/>
    </c:floor>
    <c:sideWall>
      <c:thickness val="0"/>
    </c:sideWall>
    <c:backWall>
      <c:thickness val="0"/>
    </c:backWall>
    <c:plotArea>
      <c:layout/>
      <c:pie3DChart>
        <c:varyColors val="1"/>
        <c:ser>
          <c:idx val="0"/>
          <c:order val="0"/>
          <c:dLbls>
            <c:dLbl>
              <c:idx val="0"/>
              <c:layout>
                <c:manualLayout>
                  <c:x val="-1.8646024510094134E-2"/>
                  <c:y val="-6.688538932633421E-3"/>
                </c:manualLayout>
              </c:layout>
              <c:showLegendKey val="0"/>
              <c:showVal val="1"/>
              <c:showCatName val="0"/>
              <c:showSerName val="0"/>
              <c:showPercent val="0"/>
              <c:showBubbleSize val="0"/>
            </c:dLbl>
            <c:dLbl>
              <c:idx val="1"/>
              <c:layout>
                <c:manualLayout>
                  <c:x val="4.8008092738407698E-2"/>
                  <c:y val="4.0242053076698744E-2"/>
                </c:manualLayout>
              </c:layout>
              <c:showLegendKey val="0"/>
              <c:showVal val="1"/>
              <c:showCatName val="0"/>
              <c:showSerName val="0"/>
              <c:showPercent val="0"/>
              <c:showBubbleSize val="0"/>
            </c:dLbl>
            <c:dLbl>
              <c:idx val="2"/>
              <c:layout>
                <c:manualLayout>
                  <c:x val="3.9682086614173231E-2"/>
                  <c:y val="2.1723534558180227E-2"/>
                </c:manualLayout>
              </c:layout>
              <c:showLegendKey val="0"/>
              <c:showVal val="1"/>
              <c:showCatName val="0"/>
              <c:showSerName val="0"/>
              <c:showPercent val="0"/>
              <c:showBubbleSize val="0"/>
            </c:dLbl>
            <c:dLbl>
              <c:idx val="3"/>
              <c:layout>
                <c:manualLayout>
                  <c:x val="-2.0083770778652667E-2"/>
                  <c:y val="2.0476086322543017E-3"/>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Lapas1!$A$235:$A$238</c:f>
              <c:strCache>
                <c:ptCount val="4"/>
                <c:pt idx="0">
                  <c:v>Pagrindinė FP grupė</c:v>
                </c:pt>
                <c:pt idx="1">
                  <c:v>Parengiamoji FP grupė</c:v>
                </c:pt>
                <c:pt idx="2">
                  <c:v>Specialioji FP grupė</c:v>
                </c:pt>
                <c:pt idx="3">
                  <c:v>Atsleisti nuo FP pamokų</c:v>
                </c:pt>
              </c:strCache>
            </c:strRef>
          </c:cat>
          <c:val>
            <c:numRef>
              <c:f>Lapas1!$B$235:$B$238</c:f>
              <c:numCache>
                <c:formatCode>General</c:formatCode>
                <c:ptCount val="4"/>
                <c:pt idx="0">
                  <c:v>92.6</c:v>
                </c:pt>
                <c:pt idx="1">
                  <c:v>5</c:v>
                </c:pt>
                <c:pt idx="2">
                  <c:v>1.1000000000000001</c:v>
                </c:pt>
                <c:pt idx="3">
                  <c:v>1.3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5.8767497812773403E-3"/>
                  <c:y val="6.2521872265966755E-2"/>
                </c:manualLayout>
              </c:layout>
              <c:spPr/>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dLbl>
            <c:dLbl>
              <c:idx val="1"/>
              <c:layout>
                <c:manualLayout>
                  <c:x val="2.4888998250218723E-2"/>
                  <c:y val="-7.5288349372995042E-2"/>
                </c:manualLayout>
              </c:layout>
              <c:spPr/>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dLbl>
            <c:showLegendKey val="0"/>
            <c:showVal val="1"/>
            <c:showCatName val="0"/>
            <c:showSerName val="0"/>
            <c:showPercent val="0"/>
            <c:showBubbleSize val="0"/>
            <c:showLeaderLines val="1"/>
          </c:dLbls>
          <c:cat>
            <c:strRef>
              <c:f>Lapas1!$A$241:$A$242</c:f>
              <c:strCache>
                <c:ptCount val="2"/>
                <c:pt idx="0">
                  <c:v>Sveiki</c:v>
                </c:pt>
                <c:pt idx="1">
                  <c:v>Sugedę</c:v>
                </c:pt>
              </c:strCache>
            </c:strRef>
          </c:cat>
          <c:val>
            <c:numRef>
              <c:f>Lapas1!$B$241:$B$242</c:f>
              <c:numCache>
                <c:formatCode>General</c:formatCode>
                <c:ptCount val="2"/>
                <c:pt idx="0">
                  <c:v>64.599999999999994</c:v>
                </c:pt>
                <c:pt idx="1">
                  <c:v>35.4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Lapas1!$A$245:$A$256</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Lapas1!$B$245:$B$256</c:f>
              <c:numCache>
                <c:formatCode>General</c:formatCode>
                <c:ptCount val="12"/>
                <c:pt idx="0">
                  <c:v>58.1</c:v>
                </c:pt>
                <c:pt idx="1">
                  <c:v>58.4</c:v>
                </c:pt>
                <c:pt idx="2">
                  <c:v>63.3</c:v>
                </c:pt>
                <c:pt idx="3">
                  <c:v>64.2</c:v>
                </c:pt>
                <c:pt idx="4">
                  <c:v>61.4</c:v>
                </c:pt>
                <c:pt idx="5">
                  <c:v>65.7</c:v>
                </c:pt>
                <c:pt idx="6">
                  <c:v>63.2</c:v>
                </c:pt>
                <c:pt idx="7">
                  <c:v>64.7</c:v>
                </c:pt>
                <c:pt idx="8">
                  <c:v>61.5</c:v>
                </c:pt>
                <c:pt idx="9">
                  <c:v>59.5</c:v>
                </c:pt>
                <c:pt idx="10">
                  <c:v>60.8</c:v>
                </c:pt>
                <c:pt idx="11">
                  <c:v>67.599999999999994</c:v>
                </c:pt>
              </c:numCache>
            </c:numRef>
          </c:val>
        </c:ser>
        <c:dLbls>
          <c:showLegendKey val="0"/>
          <c:showVal val="0"/>
          <c:showCatName val="0"/>
          <c:showSerName val="0"/>
          <c:showPercent val="0"/>
          <c:showBubbleSize val="0"/>
        </c:dLbls>
        <c:gapWidth val="150"/>
        <c:shape val="box"/>
        <c:axId val="152227200"/>
        <c:axId val="152253568"/>
        <c:axId val="0"/>
      </c:bar3DChart>
      <c:catAx>
        <c:axId val="152227200"/>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2253568"/>
        <c:crosses val="autoZero"/>
        <c:auto val="1"/>
        <c:lblAlgn val="ctr"/>
        <c:lblOffset val="100"/>
        <c:noMultiLvlLbl val="0"/>
      </c:catAx>
      <c:valAx>
        <c:axId val="152253568"/>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52227200"/>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5.1145122484689415E-2"/>
                  <c:y val="-7.531423155438903E-2"/>
                </c:manualLayout>
              </c:layout>
              <c:showLegendKey val="0"/>
              <c:showVal val="1"/>
              <c:showCatName val="0"/>
              <c:showSerName val="0"/>
              <c:showPercent val="0"/>
              <c:showBubbleSize val="0"/>
            </c:dLbl>
            <c:dLbl>
              <c:idx val="1"/>
              <c:layout>
                <c:manualLayout>
                  <c:x val="4.1654527559055118E-2"/>
                  <c:y val="0.11554060950714494"/>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Lapas1!$A$260:$A$261</c:f>
              <c:strCache>
                <c:ptCount val="2"/>
                <c:pt idx="0">
                  <c:v>Yra sąkandžio patologija</c:v>
                </c:pt>
                <c:pt idx="1">
                  <c:v>Nėra sąkandžio patologijos</c:v>
                </c:pt>
              </c:strCache>
            </c:strRef>
          </c:cat>
          <c:val>
            <c:numRef>
              <c:f>Lapas1!$B$260:$B$261</c:f>
              <c:numCache>
                <c:formatCode>General</c:formatCode>
                <c:ptCount val="2"/>
                <c:pt idx="0">
                  <c:v>37.1</c:v>
                </c:pt>
                <c:pt idx="1">
                  <c:v>62.9</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tx>
            <c:strRef>
              <c:f>Lapas1!$B$38</c:f>
              <c:strCache>
                <c:ptCount val="1"/>
                <c:pt idx="0">
                  <c:v>2013 m.</c:v>
                </c:pt>
              </c:strCache>
            </c:strRef>
          </c:tx>
          <c:invertIfNegative val="0"/>
          <c:dLbls>
            <c:dLbl>
              <c:idx val="0"/>
              <c:layout>
                <c:manualLayout>
                  <c:x val="-4.3290035911982151E-3"/>
                  <c:y val="9.0548936887747487E-3"/>
                </c:manualLayout>
              </c:layout>
              <c:showLegendKey val="0"/>
              <c:showVal val="1"/>
              <c:showCatName val="0"/>
              <c:showSerName val="0"/>
              <c:showPercent val="0"/>
              <c:showBubbleSize val="0"/>
            </c:dLbl>
            <c:dLbl>
              <c:idx val="3"/>
              <c:layout>
                <c:manualLayout>
                  <c:x val="-4.3290035911982151E-3"/>
                  <c:y val="9.0548936887747487E-3"/>
                </c:manualLayout>
              </c:layout>
              <c:showLegendKey val="0"/>
              <c:showVal val="1"/>
              <c:showCatName val="0"/>
              <c:showSerName val="0"/>
              <c:showPercent val="0"/>
              <c:showBubbleSize val="0"/>
            </c:dLbl>
            <c:dLbl>
              <c:idx val="5"/>
              <c:layout>
                <c:manualLayout>
                  <c:x val="0"/>
                  <c:y val="1.35823405331621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Lapas1!$A$39:$A$46</c:f>
              <c:strCache>
                <c:ptCount val="8"/>
                <c:pt idx="0">
                  <c:v>Klausos sistemos sutrikimai</c:v>
                </c:pt>
                <c:pt idx="1">
                  <c:v>Regos sistemos sutrikimai</c:v>
                </c:pt>
                <c:pt idx="2">
                  <c:v>Kraujotakos sistemos sutrikimai</c:v>
                </c:pt>
                <c:pt idx="3">
                  <c:v>Kvėpavimo sistemos sutrikimai</c:v>
                </c:pt>
                <c:pt idx="4">
                  <c:v>Nervų sistemos sutrikimai</c:v>
                </c:pt>
                <c:pt idx="5">
                  <c:v>Virškinimo sistemos sutrikimai</c:v>
                </c:pt>
                <c:pt idx="6">
                  <c:v>Endokrininės sistemos sutrikimai</c:v>
                </c:pt>
                <c:pt idx="7">
                  <c:v>Skeleto-raumenų sistemos sutrikimai</c:v>
                </c:pt>
              </c:strCache>
            </c:strRef>
          </c:cat>
          <c:val>
            <c:numRef>
              <c:f>Lapas1!$B$39:$B$46</c:f>
              <c:numCache>
                <c:formatCode>General</c:formatCode>
                <c:ptCount val="8"/>
                <c:pt idx="0">
                  <c:v>1.1000000000000001</c:v>
                </c:pt>
                <c:pt idx="1">
                  <c:v>42.1</c:v>
                </c:pt>
                <c:pt idx="2">
                  <c:v>10.3</c:v>
                </c:pt>
                <c:pt idx="3">
                  <c:v>10.8</c:v>
                </c:pt>
                <c:pt idx="4">
                  <c:v>5.0999999999999996</c:v>
                </c:pt>
                <c:pt idx="5">
                  <c:v>1.4</c:v>
                </c:pt>
                <c:pt idx="6">
                  <c:v>4.7</c:v>
                </c:pt>
                <c:pt idx="7">
                  <c:v>36.4</c:v>
                </c:pt>
              </c:numCache>
            </c:numRef>
          </c:val>
        </c:ser>
        <c:ser>
          <c:idx val="1"/>
          <c:order val="1"/>
          <c:tx>
            <c:strRef>
              <c:f>Lapas1!$C$38</c:f>
              <c:strCache>
                <c:ptCount val="1"/>
                <c:pt idx="0">
                  <c:v>2014m. </c:v>
                </c:pt>
              </c:strCache>
            </c:strRef>
          </c:tx>
          <c:invertIfNegative val="0"/>
          <c:dLbls>
            <c:dLblPos val="outEnd"/>
            <c:showLegendKey val="0"/>
            <c:showVal val="1"/>
            <c:showCatName val="0"/>
            <c:showSerName val="0"/>
            <c:showPercent val="0"/>
            <c:showBubbleSize val="0"/>
            <c:showLeaderLines val="0"/>
          </c:dLbls>
          <c:cat>
            <c:strRef>
              <c:f>Lapas1!$A$39:$A$46</c:f>
              <c:strCache>
                <c:ptCount val="8"/>
                <c:pt idx="0">
                  <c:v>Klausos sistemos sutrikimai</c:v>
                </c:pt>
                <c:pt idx="1">
                  <c:v>Regos sistemos sutrikimai</c:v>
                </c:pt>
                <c:pt idx="2">
                  <c:v>Kraujotakos sistemos sutrikimai</c:v>
                </c:pt>
                <c:pt idx="3">
                  <c:v>Kvėpavimo sistemos sutrikimai</c:v>
                </c:pt>
                <c:pt idx="4">
                  <c:v>Nervų sistemos sutrikimai</c:v>
                </c:pt>
                <c:pt idx="5">
                  <c:v>Virškinimo sistemos sutrikimai</c:v>
                </c:pt>
                <c:pt idx="6">
                  <c:v>Endokrininės sistemos sutrikimai</c:v>
                </c:pt>
                <c:pt idx="7">
                  <c:v>Skeleto-raumenų sistemos sutrikimai</c:v>
                </c:pt>
              </c:strCache>
            </c:strRef>
          </c:cat>
          <c:val>
            <c:numRef>
              <c:f>Lapas1!$C$39:$C$46</c:f>
              <c:numCache>
                <c:formatCode>General</c:formatCode>
                <c:ptCount val="8"/>
                <c:pt idx="0">
                  <c:v>0.6</c:v>
                </c:pt>
                <c:pt idx="1">
                  <c:v>48.5</c:v>
                </c:pt>
                <c:pt idx="2">
                  <c:v>12.4</c:v>
                </c:pt>
                <c:pt idx="3">
                  <c:v>12.1</c:v>
                </c:pt>
                <c:pt idx="4">
                  <c:v>5</c:v>
                </c:pt>
                <c:pt idx="5">
                  <c:v>1.3</c:v>
                </c:pt>
                <c:pt idx="6">
                  <c:v>5.6</c:v>
                </c:pt>
                <c:pt idx="7">
                  <c:v>34.6</c:v>
                </c:pt>
              </c:numCache>
            </c:numRef>
          </c:val>
        </c:ser>
        <c:dLbls>
          <c:showLegendKey val="0"/>
          <c:showVal val="0"/>
          <c:showCatName val="0"/>
          <c:showSerName val="0"/>
          <c:showPercent val="0"/>
          <c:showBubbleSize val="0"/>
        </c:dLbls>
        <c:gapWidth val="150"/>
        <c:axId val="180111232"/>
        <c:axId val="180112768"/>
      </c:barChart>
      <c:catAx>
        <c:axId val="180111232"/>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80112768"/>
        <c:crosses val="autoZero"/>
        <c:auto val="1"/>
        <c:lblAlgn val="ctr"/>
        <c:lblOffset val="100"/>
        <c:noMultiLvlLbl val="0"/>
      </c:catAx>
      <c:valAx>
        <c:axId val="180112768"/>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80111232"/>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Lapas1!$A$51:$A$58</c:f>
              <c:strCache>
                <c:ptCount val="8"/>
                <c:pt idx="0">
                  <c:v>Vaikai su kalbos defektais</c:v>
                </c:pt>
                <c:pt idx="1">
                  <c:v>Regos sistemos sutrikimai</c:v>
                </c:pt>
                <c:pt idx="2">
                  <c:v>Kraujotakos sistemos sutrikimai</c:v>
                </c:pt>
                <c:pt idx="3">
                  <c:v>Kvėpavimo sistemos sutrikimai</c:v>
                </c:pt>
                <c:pt idx="4">
                  <c:v>Nervų sistemos sutrikimai</c:v>
                </c:pt>
                <c:pt idx="5">
                  <c:v>Virškinimo sistemos sutrikimai</c:v>
                </c:pt>
                <c:pt idx="6">
                  <c:v>Endokrininės sistemos sutrikimai</c:v>
                </c:pt>
                <c:pt idx="7">
                  <c:v>Skeleto-raumenų sistemos sutrikimai</c:v>
                </c:pt>
              </c:strCache>
            </c:strRef>
          </c:cat>
          <c:val>
            <c:numRef>
              <c:f>Lapas1!$B$51:$B$58</c:f>
              <c:numCache>
                <c:formatCode>General</c:formatCode>
                <c:ptCount val="8"/>
                <c:pt idx="0">
                  <c:v>7.6</c:v>
                </c:pt>
                <c:pt idx="1">
                  <c:v>53.7</c:v>
                </c:pt>
                <c:pt idx="2">
                  <c:v>16.399999999999999</c:v>
                </c:pt>
                <c:pt idx="3">
                  <c:v>16.600000000000001</c:v>
                </c:pt>
                <c:pt idx="4">
                  <c:v>6.7</c:v>
                </c:pt>
                <c:pt idx="5">
                  <c:v>0.6</c:v>
                </c:pt>
                <c:pt idx="6">
                  <c:v>2.7</c:v>
                </c:pt>
                <c:pt idx="7">
                  <c:v>31.1</c:v>
                </c:pt>
              </c:numCache>
            </c:numRef>
          </c:val>
        </c:ser>
        <c:dLbls>
          <c:showLegendKey val="0"/>
          <c:showVal val="0"/>
          <c:showCatName val="0"/>
          <c:showSerName val="0"/>
          <c:showPercent val="0"/>
          <c:showBubbleSize val="0"/>
        </c:dLbls>
        <c:gapWidth val="150"/>
        <c:shape val="box"/>
        <c:axId val="93147520"/>
        <c:axId val="93149056"/>
        <c:axId val="0"/>
      </c:bar3DChart>
      <c:catAx>
        <c:axId val="93147520"/>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93149056"/>
        <c:crosses val="autoZero"/>
        <c:auto val="1"/>
        <c:lblAlgn val="ctr"/>
        <c:lblOffset val="100"/>
        <c:noMultiLvlLbl val="0"/>
      </c:catAx>
      <c:valAx>
        <c:axId val="93149056"/>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9314752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Lapas1!$A$85</c:f>
              <c:strCache>
                <c:ptCount val="1"/>
                <c:pt idx="0">
                  <c:v>Vaikai, turintys regos sutrikimų</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numRef>
              <c:f>Lapas1!$B$84:$F$84</c:f>
              <c:numCache>
                <c:formatCode>General</c:formatCode>
                <c:ptCount val="5"/>
                <c:pt idx="0">
                  <c:v>2010</c:v>
                </c:pt>
                <c:pt idx="1">
                  <c:v>2011</c:v>
                </c:pt>
                <c:pt idx="2">
                  <c:v>2012</c:v>
                </c:pt>
                <c:pt idx="3">
                  <c:v>2013</c:v>
                </c:pt>
                <c:pt idx="4">
                  <c:v>2014</c:v>
                </c:pt>
              </c:numCache>
            </c:numRef>
          </c:cat>
          <c:val>
            <c:numRef>
              <c:f>Lapas1!$B$85:$F$85</c:f>
              <c:numCache>
                <c:formatCode>General</c:formatCode>
                <c:ptCount val="5"/>
                <c:pt idx="0">
                  <c:v>38.700000000000003</c:v>
                </c:pt>
                <c:pt idx="1">
                  <c:v>39.200000000000003</c:v>
                </c:pt>
                <c:pt idx="2">
                  <c:v>42.2</c:v>
                </c:pt>
                <c:pt idx="3">
                  <c:v>42.1</c:v>
                </c:pt>
                <c:pt idx="4">
                  <c:v>48.5</c:v>
                </c:pt>
              </c:numCache>
            </c:numRef>
          </c:val>
        </c:ser>
        <c:dLbls>
          <c:showLegendKey val="0"/>
          <c:showVal val="0"/>
          <c:showCatName val="0"/>
          <c:showSerName val="0"/>
          <c:showPercent val="0"/>
          <c:showBubbleSize val="0"/>
        </c:dLbls>
        <c:gapWidth val="150"/>
        <c:shape val="box"/>
        <c:axId val="93165824"/>
        <c:axId val="93184384"/>
        <c:axId val="0"/>
      </c:bar3DChart>
      <c:catAx>
        <c:axId val="9316582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Metai</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93184384"/>
        <c:crosses val="autoZero"/>
        <c:auto val="1"/>
        <c:lblAlgn val="ctr"/>
        <c:lblOffset val="100"/>
        <c:noMultiLvlLbl val="0"/>
      </c:catAx>
      <c:valAx>
        <c:axId val="93184384"/>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crossAx val="9316582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Lapas1!$A$63:$A$74</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Lapas1!$B$63:$B$74</c:f>
              <c:numCache>
                <c:formatCode>General</c:formatCode>
                <c:ptCount val="12"/>
                <c:pt idx="0">
                  <c:v>40</c:v>
                </c:pt>
                <c:pt idx="1">
                  <c:v>46.8</c:v>
                </c:pt>
                <c:pt idx="2">
                  <c:v>50</c:v>
                </c:pt>
                <c:pt idx="3">
                  <c:v>47.4</c:v>
                </c:pt>
                <c:pt idx="4">
                  <c:v>58</c:v>
                </c:pt>
                <c:pt idx="5">
                  <c:v>52.3</c:v>
                </c:pt>
                <c:pt idx="6">
                  <c:v>52.1</c:v>
                </c:pt>
                <c:pt idx="7">
                  <c:v>49.7</c:v>
                </c:pt>
                <c:pt idx="8">
                  <c:v>44.9</c:v>
                </c:pt>
                <c:pt idx="9">
                  <c:v>44.3</c:v>
                </c:pt>
                <c:pt idx="10">
                  <c:v>46</c:v>
                </c:pt>
                <c:pt idx="11">
                  <c:v>53.7</c:v>
                </c:pt>
              </c:numCache>
            </c:numRef>
          </c:val>
        </c:ser>
        <c:dLbls>
          <c:showLegendKey val="0"/>
          <c:showVal val="0"/>
          <c:showCatName val="0"/>
          <c:showSerName val="0"/>
          <c:showPercent val="0"/>
          <c:showBubbleSize val="0"/>
        </c:dLbls>
        <c:gapWidth val="150"/>
        <c:shape val="box"/>
        <c:axId val="104084992"/>
        <c:axId val="104086528"/>
        <c:axId val="0"/>
      </c:bar3DChart>
      <c:catAx>
        <c:axId val="104084992"/>
        <c:scaling>
          <c:orientation val="minMax"/>
        </c:scaling>
        <c:delete val="0"/>
        <c:axPos val="l"/>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t-LT"/>
          </a:p>
        </c:txPr>
        <c:crossAx val="104086528"/>
        <c:crosses val="autoZero"/>
        <c:auto val="1"/>
        <c:lblAlgn val="ctr"/>
        <c:lblOffset val="100"/>
        <c:noMultiLvlLbl val="0"/>
      </c:catAx>
      <c:valAx>
        <c:axId val="104086528"/>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04084992"/>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Lapas1!$A$91</c:f>
              <c:strCache>
                <c:ptCount val="1"/>
                <c:pt idx="0">
                  <c:v>Vaikai, turintys skeleto-raumenų sistemos sutrikimų</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numRef>
              <c:f>Lapas1!$B$90:$F$90</c:f>
              <c:numCache>
                <c:formatCode>General</c:formatCode>
                <c:ptCount val="5"/>
                <c:pt idx="0">
                  <c:v>2010</c:v>
                </c:pt>
                <c:pt idx="1">
                  <c:v>2011</c:v>
                </c:pt>
                <c:pt idx="2">
                  <c:v>2012</c:v>
                </c:pt>
                <c:pt idx="3">
                  <c:v>2013</c:v>
                </c:pt>
                <c:pt idx="4">
                  <c:v>2014</c:v>
                </c:pt>
              </c:numCache>
            </c:numRef>
          </c:cat>
          <c:val>
            <c:numRef>
              <c:f>Lapas1!$B$91:$F$91</c:f>
              <c:numCache>
                <c:formatCode>General</c:formatCode>
                <c:ptCount val="5"/>
                <c:pt idx="0">
                  <c:v>39.4</c:v>
                </c:pt>
                <c:pt idx="1">
                  <c:v>37.1</c:v>
                </c:pt>
                <c:pt idx="2">
                  <c:v>39.299999999999997</c:v>
                </c:pt>
                <c:pt idx="3">
                  <c:v>36.4</c:v>
                </c:pt>
                <c:pt idx="4">
                  <c:v>34.6</c:v>
                </c:pt>
              </c:numCache>
            </c:numRef>
          </c:val>
        </c:ser>
        <c:dLbls>
          <c:showLegendKey val="0"/>
          <c:showVal val="0"/>
          <c:showCatName val="0"/>
          <c:showSerName val="0"/>
          <c:showPercent val="0"/>
          <c:showBubbleSize val="0"/>
        </c:dLbls>
        <c:gapWidth val="150"/>
        <c:shape val="box"/>
        <c:axId val="104123776"/>
        <c:axId val="104134144"/>
        <c:axId val="0"/>
      </c:bar3DChart>
      <c:catAx>
        <c:axId val="10412377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Metai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04134144"/>
        <c:crosses val="autoZero"/>
        <c:auto val="1"/>
        <c:lblAlgn val="ctr"/>
        <c:lblOffset val="100"/>
        <c:noMultiLvlLbl val="0"/>
      </c:catAx>
      <c:valAx>
        <c:axId val="104134144"/>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0412377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Lapas1!$A$97:$A$108</c:f>
              <c:strCache>
                <c:ptCount val="12"/>
                <c:pt idx="0">
                  <c:v>12 klasė</c:v>
                </c:pt>
                <c:pt idx="1">
                  <c:v>11 klasė</c:v>
                </c:pt>
                <c:pt idx="2">
                  <c:v>10 klasė</c:v>
                </c:pt>
                <c:pt idx="3">
                  <c:v>9 klasė</c:v>
                </c:pt>
                <c:pt idx="4">
                  <c:v>8 klasė</c:v>
                </c:pt>
                <c:pt idx="5">
                  <c:v>7 klasė</c:v>
                </c:pt>
                <c:pt idx="6">
                  <c:v>6 klasė</c:v>
                </c:pt>
                <c:pt idx="7">
                  <c:v>5 klasė</c:v>
                </c:pt>
                <c:pt idx="8">
                  <c:v>4 klasė</c:v>
                </c:pt>
                <c:pt idx="9">
                  <c:v>3 klasė</c:v>
                </c:pt>
                <c:pt idx="10">
                  <c:v>2 klasė</c:v>
                </c:pt>
                <c:pt idx="11">
                  <c:v>1 klasė</c:v>
                </c:pt>
              </c:strCache>
            </c:strRef>
          </c:cat>
          <c:val>
            <c:numRef>
              <c:f>Lapas1!$B$97:$B$108</c:f>
              <c:numCache>
                <c:formatCode>General</c:formatCode>
                <c:ptCount val="12"/>
                <c:pt idx="0">
                  <c:v>22</c:v>
                </c:pt>
                <c:pt idx="1">
                  <c:v>28.4</c:v>
                </c:pt>
                <c:pt idx="2">
                  <c:v>33.799999999999997</c:v>
                </c:pt>
                <c:pt idx="3">
                  <c:v>36.4</c:v>
                </c:pt>
                <c:pt idx="4">
                  <c:v>48.5</c:v>
                </c:pt>
                <c:pt idx="5">
                  <c:v>43.4</c:v>
                </c:pt>
                <c:pt idx="6">
                  <c:v>43.6</c:v>
                </c:pt>
                <c:pt idx="7">
                  <c:v>37.4</c:v>
                </c:pt>
                <c:pt idx="8">
                  <c:v>34.700000000000003</c:v>
                </c:pt>
                <c:pt idx="9">
                  <c:v>32.299999999999997</c:v>
                </c:pt>
                <c:pt idx="10">
                  <c:v>34</c:v>
                </c:pt>
                <c:pt idx="11">
                  <c:v>31.1</c:v>
                </c:pt>
              </c:numCache>
            </c:numRef>
          </c:val>
        </c:ser>
        <c:dLbls>
          <c:showLegendKey val="0"/>
          <c:showVal val="0"/>
          <c:showCatName val="0"/>
          <c:showSerName val="0"/>
          <c:showPercent val="0"/>
          <c:showBubbleSize val="0"/>
        </c:dLbls>
        <c:gapWidth val="150"/>
        <c:shape val="box"/>
        <c:axId val="12142848"/>
        <c:axId val="12152832"/>
        <c:axId val="0"/>
      </c:bar3DChart>
      <c:catAx>
        <c:axId val="12142848"/>
        <c:scaling>
          <c:orientation val="minMax"/>
        </c:scaling>
        <c:delete val="0"/>
        <c:axPos val="l"/>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t-LT"/>
          </a:p>
        </c:txPr>
        <c:crossAx val="12152832"/>
        <c:crosses val="autoZero"/>
        <c:auto val="1"/>
        <c:lblAlgn val="ctr"/>
        <c:lblOffset val="100"/>
        <c:noMultiLvlLbl val="0"/>
      </c:catAx>
      <c:valAx>
        <c:axId val="12152832"/>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2142848"/>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Lapas1!$A$114</c:f>
              <c:strCache>
                <c:ptCount val="1"/>
                <c:pt idx="0">
                  <c:v>Vaikai, turintys kvėpavimo sistemos sutrikimų</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numRef>
              <c:f>Lapas1!$B$113:$F$113</c:f>
              <c:numCache>
                <c:formatCode>General</c:formatCode>
                <c:ptCount val="5"/>
                <c:pt idx="0">
                  <c:v>2010</c:v>
                </c:pt>
                <c:pt idx="1">
                  <c:v>2011</c:v>
                </c:pt>
                <c:pt idx="2">
                  <c:v>2012</c:v>
                </c:pt>
                <c:pt idx="3">
                  <c:v>2013</c:v>
                </c:pt>
                <c:pt idx="4">
                  <c:v>2014</c:v>
                </c:pt>
              </c:numCache>
            </c:numRef>
          </c:cat>
          <c:val>
            <c:numRef>
              <c:f>Lapas1!$B$114:$F$114</c:f>
              <c:numCache>
                <c:formatCode>General</c:formatCode>
                <c:ptCount val="5"/>
                <c:pt idx="0">
                  <c:v>8.3000000000000007</c:v>
                </c:pt>
                <c:pt idx="1">
                  <c:v>8.4</c:v>
                </c:pt>
                <c:pt idx="2">
                  <c:v>8.3000000000000007</c:v>
                </c:pt>
                <c:pt idx="3">
                  <c:v>10.8</c:v>
                </c:pt>
                <c:pt idx="4">
                  <c:v>12.1</c:v>
                </c:pt>
              </c:numCache>
            </c:numRef>
          </c:val>
        </c:ser>
        <c:dLbls>
          <c:showLegendKey val="0"/>
          <c:showVal val="0"/>
          <c:showCatName val="0"/>
          <c:showSerName val="0"/>
          <c:showPercent val="0"/>
          <c:showBubbleSize val="0"/>
        </c:dLbls>
        <c:gapWidth val="150"/>
        <c:shape val="box"/>
        <c:axId val="12177792"/>
        <c:axId val="12179712"/>
        <c:axId val="0"/>
      </c:bar3DChart>
      <c:catAx>
        <c:axId val="1217779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Metai</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2179712"/>
        <c:crosses val="autoZero"/>
        <c:auto val="1"/>
        <c:lblAlgn val="ctr"/>
        <c:lblOffset val="100"/>
        <c:noMultiLvlLbl val="0"/>
      </c:catAx>
      <c:valAx>
        <c:axId val="12179712"/>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Procentai</a:t>
                </a:r>
              </a:p>
            </c:rich>
          </c:tx>
          <c:overlay val="0"/>
        </c:title>
        <c:numFmt formatCode="General" sourceLinked="1"/>
        <c:majorTickMark val="out"/>
        <c:minorTickMark val="none"/>
        <c:tickLblPos val="nextTo"/>
        <c:crossAx val="1217779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13981</Words>
  <Characters>7970</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Valentaitė</dc:creator>
  <cp:keywords/>
  <dc:description/>
  <cp:lastModifiedBy>Ieva Valentaitė</cp:lastModifiedBy>
  <cp:revision>2</cp:revision>
  <cp:lastPrinted>2015-04-13T11:07:00Z</cp:lastPrinted>
  <dcterms:created xsi:type="dcterms:W3CDTF">2015-04-16T09:28:00Z</dcterms:created>
  <dcterms:modified xsi:type="dcterms:W3CDTF">2015-04-16T09:28:00Z</dcterms:modified>
</cp:coreProperties>
</file>